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6CA73" w14:textId="77777777" w:rsidR="00C30FCD" w:rsidRPr="00F31428" w:rsidRDefault="00F31428" w:rsidP="00C30FCD">
      <w:pPr>
        <w:numPr>
          <w:ilvl w:val="0"/>
          <w:numId w:val="1"/>
        </w:numPr>
        <w:tabs>
          <w:tab w:val="clear" w:pos="720"/>
          <w:tab w:val="num" w:pos="0"/>
        </w:tabs>
        <w:spacing w:line="288" w:lineRule="auto"/>
        <w:ind w:left="0" w:firstLine="0"/>
        <w:rPr>
          <w:lang w:val="sv-SE"/>
        </w:rPr>
      </w:pPr>
      <w:r w:rsidRPr="00F31428">
        <w:rPr>
          <w:b/>
          <w:lang w:val="sv-SE"/>
        </w:rPr>
        <w:t>https://www.lhv.nl/service/handreiking-patientveiligheid-de-huisartsenzorg</w:t>
      </w:r>
      <w:bookmarkStart w:id="0" w:name="_GoBack"/>
      <w:bookmarkEnd w:id="0"/>
      <w:r w:rsidR="00C30FCD" w:rsidRPr="00F31428">
        <w:rPr>
          <w:b/>
          <w:lang w:val="sv-SE"/>
        </w:rPr>
        <w:t>Inleiding docent 10 min</w:t>
      </w:r>
      <w:r w:rsidR="00C30FCD" w:rsidRPr="00F31428">
        <w:rPr>
          <w:lang w:val="sv-SE"/>
        </w:rPr>
        <w:t>.</w:t>
      </w:r>
    </w:p>
    <w:p w14:paraId="08815E38" w14:textId="77777777" w:rsidR="00C30FCD" w:rsidRPr="002E14F7" w:rsidRDefault="00C30FCD" w:rsidP="00C30FCD">
      <w:pPr>
        <w:tabs>
          <w:tab w:val="num" w:pos="0"/>
        </w:tabs>
        <w:spacing w:line="288" w:lineRule="auto"/>
        <w:contextualSpacing/>
        <w:rPr>
          <w:b/>
        </w:rPr>
      </w:pPr>
      <w:r>
        <w:t xml:space="preserve">Bespreek het begrip incident met samenhangende begrippen als; fout, slordigheid, vergeten, misser,  ‘fout gegaan - fout gedaan’,  ‘verwijtbare fout’. Een goede start is om de vraag te stellen: ’Wat noem je </w:t>
      </w:r>
      <w:r w:rsidRPr="002E14F7">
        <w:rPr>
          <w:b/>
        </w:rPr>
        <w:t>een ….?’</w:t>
      </w:r>
    </w:p>
    <w:p w14:paraId="660845E9" w14:textId="77777777" w:rsidR="00C30FCD" w:rsidRDefault="00C30FCD" w:rsidP="00C30FCD">
      <w:pPr>
        <w:tabs>
          <w:tab w:val="num" w:pos="0"/>
        </w:tabs>
        <w:spacing w:line="288" w:lineRule="auto"/>
        <w:contextualSpacing/>
      </w:pPr>
    </w:p>
    <w:p w14:paraId="666EE4FE" w14:textId="77777777" w:rsidR="00C30FCD" w:rsidRDefault="00C30FCD" w:rsidP="00C30FCD">
      <w:pPr>
        <w:tabs>
          <w:tab w:val="num" w:pos="0"/>
        </w:tabs>
        <w:spacing w:line="288" w:lineRule="auto"/>
        <w:contextualSpacing/>
      </w:pPr>
      <w:r>
        <w:t>In dit programma wordt elke verkeerde uitkomst van een ( een groot, maar vooral ook klein) stukje van het zorgproces, beschreven met de term ‘incident’. (Voor achtergrond zie het artikel ‘Elke fout is goud, van elke misser kun je leren.’)</w:t>
      </w:r>
    </w:p>
    <w:p w14:paraId="4753CCF3" w14:textId="77777777" w:rsidR="00C30FCD" w:rsidRDefault="00C30FCD" w:rsidP="00C30FCD">
      <w:pPr>
        <w:tabs>
          <w:tab w:val="num" w:pos="0"/>
        </w:tabs>
        <w:spacing w:line="288" w:lineRule="auto"/>
        <w:contextualSpacing/>
      </w:pPr>
    </w:p>
    <w:p w14:paraId="74EA5699" w14:textId="77777777" w:rsidR="00C30FCD" w:rsidRDefault="00C30FCD" w:rsidP="00C30FCD">
      <w:pPr>
        <w:tabs>
          <w:tab w:val="num" w:pos="0"/>
        </w:tabs>
        <w:spacing w:line="288" w:lineRule="auto"/>
        <w:contextualSpacing/>
      </w:pPr>
      <w:r>
        <w:t xml:space="preserve">Maak afspraken over de programma onderdelen en spreek af welke ‘fouten’ je zult gaan bespreken. </w:t>
      </w:r>
    </w:p>
    <w:p w14:paraId="5D0920FE" w14:textId="77777777" w:rsidR="00C30FCD" w:rsidRDefault="00C30FCD" w:rsidP="00C30FCD">
      <w:pPr>
        <w:tabs>
          <w:tab w:val="num" w:pos="0"/>
        </w:tabs>
        <w:spacing w:line="288" w:lineRule="auto"/>
      </w:pPr>
    </w:p>
    <w:p w14:paraId="4243A264" w14:textId="77777777" w:rsidR="00C30FCD" w:rsidRDefault="00C30FCD" w:rsidP="00C30FCD">
      <w:pPr>
        <w:numPr>
          <w:ilvl w:val="0"/>
          <w:numId w:val="1"/>
        </w:numPr>
        <w:tabs>
          <w:tab w:val="clear" w:pos="720"/>
          <w:tab w:val="num" w:pos="0"/>
        </w:tabs>
        <w:spacing w:line="288" w:lineRule="auto"/>
        <w:ind w:left="0" w:firstLine="0"/>
      </w:pPr>
      <w:r>
        <w:rPr>
          <w:b/>
        </w:rPr>
        <w:t>Bespreking voorbereidende opdracht</w:t>
      </w:r>
    </w:p>
    <w:p w14:paraId="37B9A24E" w14:textId="77777777" w:rsidR="00C30FCD" w:rsidRDefault="00C30FCD" w:rsidP="00C30FCD">
      <w:pPr>
        <w:tabs>
          <w:tab w:val="num" w:pos="0"/>
        </w:tabs>
        <w:spacing w:line="288" w:lineRule="auto"/>
      </w:pPr>
      <w:r>
        <w:t xml:space="preserve">Inventariseer wie, welke voorbereiding heeft gedaan en laat mensen vertellen wat ze hebben ontdekt. </w:t>
      </w:r>
    </w:p>
    <w:p w14:paraId="67946B37" w14:textId="77777777" w:rsidR="00C30FCD" w:rsidRDefault="002E14F7" w:rsidP="00C30FCD">
      <w:pPr>
        <w:tabs>
          <w:tab w:val="num" w:pos="0"/>
        </w:tabs>
        <w:spacing w:line="288" w:lineRule="auto"/>
      </w:pPr>
      <w:r>
        <w:t xml:space="preserve">Wijs mensen </w:t>
      </w:r>
      <w:r w:rsidR="00C30FCD">
        <w:t xml:space="preserve">op de LHV website de Handreiking: ‘Patiëntveiligheid in de huisartsenzorg’ </w:t>
      </w:r>
      <w:r>
        <w:t xml:space="preserve">( je vind het zo met google) </w:t>
      </w:r>
      <w:r w:rsidR="00C30FCD">
        <w:t xml:space="preserve">zien. </w:t>
      </w:r>
    </w:p>
    <w:p w14:paraId="43E217DD" w14:textId="77777777" w:rsidR="00C30FCD" w:rsidRDefault="00C30FCD" w:rsidP="00C30FCD">
      <w:pPr>
        <w:tabs>
          <w:tab w:val="num" w:pos="0"/>
        </w:tabs>
        <w:spacing w:line="288" w:lineRule="auto"/>
      </w:pPr>
    </w:p>
    <w:p w14:paraId="53BA4EED" w14:textId="77777777" w:rsidR="00C30FCD" w:rsidRDefault="00C30FCD" w:rsidP="00C30FCD">
      <w:pPr>
        <w:tabs>
          <w:tab w:val="num" w:pos="0"/>
        </w:tabs>
        <w:spacing w:line="288" w:lineRule="auto"/>
      </w:pPr>
      <w:r>
        <w:t>De antwoordsleutel van de ingangstoets is bijgevoegd. Het gaat om de overwegingen van Aios.</w:t>
      </w:r>
    </w:p>
    <w:p w14:paraId="2D72CB8A" w14:textId="77777777" w:rsidR="00C30FCD" w:rsidRDefault="00C30FCD" w:rsidP="00C30FCD">
      <w:pPr>
        <w:tabs>
          <w:tab w:val="num" w:pos="0"/>
        </w:tabs>
        <w:spacing w:line="288" w:lineRule="auto"/>
      </w:pPr>
    </w:p>
    <w:p w14:paraId="27F74720" w14:textId="77777777" w:rsidR="00C30FCD" w:rsidRDefault="00C30FCD" w:rsidP="00C30FCD">
      <w:pPr>
        <w:numPr>
          <w:ilvl w:val="0"/>
          <w:numId w:val="1"/>
        </w:numPr>
        <w:tabs>
          <w:tab w:val="clear" w:pos="720"/>
          <w:tab w:val="num" w:pos="0"/>
        </w:tabs>
        <w:spacing w:line="288" w:lineRule="auto"/>
        <w:ind w:left="0" w:firstLine="0"/>
        <w:rPr>
          <w:b/>
        </w:rPr>
      </w:pPr>
      <w:r>
        <w:rPr>
          <w:b/>
        </w:rPr>
        <w:t>Incidenten bespreken</w:t>
      </w:r>
    </w:p>
    <w:p w14:paraId="54704FDF" w14:textId="77777777" w:rsidR="00C30FCD" w:rsidRPr="002E14F7" w:rsidRDefault="00C30FCD" w:rsidP="00C30FCD">
      <w:pPr>
        <w:tabs>
          <w:tab w:val="num" w:pos="0"/>
        </w:tabs>
        <w:rPr>
          <w:b/>
          <w:szCs w:val="20"/>
        </w:rPr>
      </w:pPr>
      <w:r w:rsidRPr="002E14F7">
        <w:rPr>
          <w:szCs w:val="20"/>
        </w:rPr>
        <w:t>Het ontdekken van een fout begint ergens en leidt na een zoek proces tot het begrip,” Zo is het fout gegaan”. Dit proces leent zich goed om te volgen met de ‘Stap voor Stap’ methode (ook wel de ‘Incident methode’ genoemd</w:t>
      </w:r>
      <w:r w:rsidRPr="002E14F7">
        <w:rPr>
          <w:rStyle w:val="Voetnootmarkering"/>
          <w:szCs w:val="20"/>
        </w:rPr>
        <w:footnoteReference w:id="1"/>
      </w:r>
      <w:r w:rsidR="002E14F7" w:rsidRPr="002E14F7">
        <w:rPr>
          <w:szCs w:val="20"/>
        </w:rPr>
        <w:t>). Zi</w:t>
      </w:r>
      <w:r w:rsidRPr="002E14F7">
        <w:rPr>
          <w:szCs w:val="20"/>
        </w:rPr>
        <w:t>e</w:t>
      </w:r>
      <w:r w:rsidR="002E14F7" w:rsidRPr="002E14F7">
        <w:rPr>
          <w:szCs w:val="20"/>
        </w:rPr>
        <w:t xml:space="preserve"> beschrijving</w:t>
      </w:r>
      <w:r w:rsidR="002E14F7" w:rsidRPr="002E14F7">
        <w:rPr>
          <w:b/>
          <w:szCs w:val="20"/>
        </w:rPr>
        <w:t xml:space="preserve"> </w:t>
      </w:r>
      <w:r w:rsidR="002E14F7">
        <w:rPr>
          <w:b/>
          <w:szCs w:val="20"/>
        </w:rPr>
        <w:t>‘</w:t>
      </w:r>
      <w:r w:rsidR="002E14F7" w:rsidRPr="002E14F7">
        <w:rPr>
          <w:rStyle w:val="Zwaar"/>
          <w:rFonts w:cs="Arial"/>
          <w:b w:val="0"/>
          <w:color w:val="333333"/>
          <w:szCs w:val="20"/>
        </w:rPr>
        <w:t>incident (stap voor stap) methode bij de VIM bespreking</w:t>
      </w:r>
      <w:r w:rsidR="002E14F7">
        <w:rPr>
          <w:rStyle w:val="Zwaar"/>
          <w:rFonts w:cs="Arial"/>
          <w:b w:val="0"/>
          <w:color w:val="333333"/>
          <w:szCs w:val="20"/>
        </w:rPr>
        <w:t>’.</w:t>
      </w:r>
    </w:p>
    <w:p w14:paraId="73B4EF28" w14:textId="77777777" w:rsidR="00C30FCD" w:rsidRDefault="00C30FCD" w:rsidP="00C30FCD">
      <w:pPr>
        <w:tabs>
          <w:tab w:val="num" w:pos="0"/>
        </w:tabs>
      </w:pPr>
    </w:p>
    <w:p w14:paraId="7F47C6DE" w14:textId="77777777" w:rsidR="00C30FCD" w:rsidRDefault="00C30FCD" w:rsidP="00C30FCD">
      <w:pPr>
        <w:tabs>
          <w:tab w:val="num" w:pos="0"/>
        </w:tabs>
      </w:pPr>
      <w:r>
        <w:t>Docentinstructie:</w:t>
      </w:r>
    </w:p>
    <w:p w14:paraId="7FA51DDE" w14:textId="77777777" w:rsidR="00C30FCD" w:rsidRDefault="00C30FCD" w:rsidP="00C30FCD">
      <w:pPr>
        <w:numPr>
          <w:ilvl w:val="0"/>
          <w:numId w:val="2"/>
        </w:numPr>
        <w:tabs>
          <w:tab w:val="clear" w:pos="2661"/>
          <w:tab w:val="num" w:pos="540"/>
        </w:tabs>
        <w:ind w:left="540" w:hanging="540"/>
      </w:pPr>
      <w:r>
        <w:t xml:space="preserve">Het leereffect van de stap voor stap methode zit er o.a. in dat de Aios veel meer oorzaken van missers  en fouten leren kennen dan ze in hun eentje zouden kunnen verzinnen. Besteed daarom vooral aandacht aan het zoeken naar andere mogelijkheden. </w:t>
      </w:r>
    </w:p>
    <w:p w14:paraId="7C77CB26" w14:textId="77777777" w:rsidR="00C30FCD" w:rsidRDefault="00C30FCD" w:rsidP="00C30FCD">
      <w:pPr>
        <w:numPr>
          <w:ilvl w:val="0"/>
          <w:numId w:val="2"/>
        </w:numPr>
        <w:tabs>
          <w:tab w:val="clear" w:pos="2661"/>
          <w:tab w:val="num" w:pos="540"/>
        </w:tabs>
        <w:ind w:left="540" w:hanging="540"/>
      </w:pPr>
      <w:r>
        <w:t>Probeer de inbrenger de informatie stap voor stap te laten beschrijven en vraag de groep waar ze aan denken en wat ze gaan vragen/doen. Geef dan de volgende informatie etc. In bijlage 2 vindt u een beschrijving van de stap voor stap methode</w:t>
      </w:r>
    </w:p>
    <w:p w14:paraId="1AB97A9A" w14:textId="77777777" w:rsidR="00C30FCD" w:rsidRDefault="00C30FCD" w:rsidP="00C30FCD">
      <w:pPr>
        <w:numPr>
          <w:ilvl w:val="0"/>
          <w:numId w:val="2"/>
        </w:numPr>
        <w:tabs>
          <w:tab w:val="clear" w:pos="2661"/>
          <w:tab w:val="num" w:pos="540"/>
        </w:tabs>
        <w:ind w:left="540" w:hanging="540"/>
      </w:pPr>
      <w:r>
        <w:t>Gebruik voorbeelden van de Aios of enkele voorbeelden uit de bijlage 3.</w:t>
      </w:r>
    </w:p>
    <w:p w14:paraId="58A11AEB" w14:textId="77777777" w:rsidR="00C30FCD" w:rsidRDefault="00C30FCD" w:rsidP="00C30FCD">
      <w:pPr>
        <w:tabs>
          <w:tab w:val="num" w:pos="0"/>
        </w:tabs>
      </w:pPr>
    </w:p>
    <w:p w14:paraId="37929352" w14:textId="77777777" w:rsidR="00C30FCD" w:rsidRDefault="00C30FCD" w:rsidP="00C30FCD">
      <w:pPr>
        <w:spacing w:line="288" w:lineRule="auto"/>
        <w:rPr>
          <w:b/>
        </w:rPr>
      </w:pPr>
    </w:p>
    <w:p w14:paraId="0D2A847D" w14:textId="77777777" w:rsidR="00C30FCD" w:rsidRDefault="00C30FCD" w:rsidP="00C30FCD">
      <w:pPr>
        <w:numPr>
          <w:ilvl w:val="0"/>
          <w:numId w:val="1"/>
        </w:numPr>
        <w:tabs>
          <w:tab w:val="clear" w:pos="720"/>
          <w:tab w:val="num" w:pos="0"/>
        </w:tabs>
        <w:spacing w:line="288" w:lineRule="auto"/>
        <w:ind w:left="0" w:firstLine="0"/>
        <w:rPr>
          <w:b/>
        </w:rPr>
      </w:pPr>
      <w:r>
        <w:rPr>
          <w:b/>
        </w:rPr>
        <w:t>De dagelijkse leiding van de huisarts.</w:t>
      </w:r>
    </w:p>
    <w:p w14:paraId="33295EC4" w14:textId="77777777" w:rsidR="00C30FCD" w:rsidRDefault="00C30FCD" w:rsidP="00C30FCD">
      <w:pPr>
        <w:spacing w:line="288" w:lineRule="auto"/>
        <w:rPr>
          <w:bCs/>
        </w:rPr>
      </w:pPr>
      <w:r>
        <w:rPr>
          <w:bCs/>
        </w:rPr>
        <w:t xml:space="preserve">Deze drie casussen beschrijven incidenten van verschillende ernst. De verantwoordelijke huisarts heeft niet alleen de taak de schade te herstellen, maar ook om herhaling te voorkomen. </w:t>
      </w:r>
    </w:p>
    <w:p w14:paraId="55255740" w14:textId="77777777" w:rsidR="00C30FCD" w:rsidRDefault="00C30FCD" w:rsidP="00C30FCD">
      <w:pPr>
        <w:spacing w:line="288" w:lineRule="auto"/>
        <w:rPr>
          <w:bCs/>
        </w:rPr>
      </w:pPr>
      <w:r>
        <w:rPr>
          <w:bCs/>
        </w:rPr>
        <w:t xml:space="preserve">De opstelling van de huisarts, </w:t>
      </w:r>
      <w:proofErr w:type="spellStart"/>
      <w:r>
        <w:rPr>
          <w:bCs/>
        </w:rPr>
        <w:t>tav</w:t>
      </w:r>
      <w:proofErr w:type="spellEnd"/>
      <w:r>
        <w:rPr>
          <w:bCs/>
        </w:rPr>
        <w:t xml:space="preserve"> het uitzoeken van incidenten, het bespreken van incidenten en het communiceren ervan naar medewerkers heeft veel invloed op de cultuur rond het melden van </w:t>
      </w:r>
      <w:proofErr w:type="spellStart"/>
      <w:r>
        <w:rPr>
          <w:bCs/>
        </w:rPr>
        <w:t>incidentent</w:t>
      </w:r>
      <w:proofErr w:type="spellEnd"/>
      <w:r>
        <w:rPr>
          <w:bCs/>
        </w:rPr>
        <w:t xml:space="preserve">. Er is veel mogelijk tussen “Je mond houden” en “Negeren van fouten” tot een cultuur ”Waarin fouten bespreekbaar zijn zonder vrees of blaam”. </w:t>
      </w:r>
    </w:p>
    <w:p w14:paraId="1491081F" w14:textId="77777777" w:rsidR="00C30FCD" w:rsidRDefault="00C30FCD" w:rsidP="00C30FCD">
      <w:pPr>
        <w:spacing w:line="288" w:lineRule="auto"/>
        <w:rPr>
          <w:bCs/>
        </w:rPr>
      </w:pPr>
    </w:p>
    <w:p w14:paraId="1AF146E2" w14:textId="77777777" w:rsidR="00C30FCD" w:rsidRDefault="00C30FCD" w:rsidP="00C30FCD">
      <w:pPr>
        <w:spacing w:line="288" w:lineRule="auto"/>
        <w:rPr>
          <w:bCs/>
        </w:rPr>
      </w:pPr>
      <w:r>
        <w:rPr>
          <w:bCs/>
        </w:rPr>
        <w:t xml:space="preserve">Docent instructie: </w:t>
      </w:r>
    </w:p>
    <w:p w14:paraId="353919BA" w14:textId="77777777" w:rsidR="00C30FCD" w:rsidRDefault="00C30FCD" w:rsidP="00C30FCD">
      <w:pPr>
        <w:numPr>
          <w:ilvl w:val="0"/>
          <w:numId w:val="5"/>
        </w:numPr>
        <w:tabs>
          <w:tab w:val="clear" w:pos="1065"/>
          <w:tab w:val="num" w:pos="360"/>
        </w:tabs>
        <w:spacing w:line="288" w:lineRule="auto"/>
        <w:ind w:left="360" w:hanging="360"/>
        <w:rPr>
          <w:bCs/>
        </w:rPr>
      </w:pPr>
      <w:r>
        <w:rPr>
          <w:bCs/>
        </w:rPr>
        <w:t xml:space="preserve">Deel de groep in 2 – 3 tallen. </w:t>
      </w:r>
    </w:p>
    <w:p w14:paraId="6A9CD54D" w14:textId="77777777" w:rsidR="00C30FCD" w:rsidRDefault="00C30FCD" w:rsidP="00C30FCD">
      <w:pPr>
        <w:numPr>
          <w:ilvl w:val="0"/>
          <w:numId w:val="5"/>
        </w:numPr>
        <w:tabs>
          <w:tab w:val="clear" w:pos="1065"/>
          <w:tab w:val="num" w:pos="360"/>
        </w:tabs>
        <w:spacing w:line="288" w:lineRule="auto"/>
        <w:ind w:left="360" w:hanging="360"/>
        <w:rPr>
          <w:bCs/>
        </w:rPr>
      </w:pPr>
      <w:r>
        <w:rPr>
          <w:bCs/>
        </w:rPr>
        <w:t xml:space="preserve">Vraag ieder groepje ten minste een casus bespreken en leg vast welke zij beginnen. </w:t>
      </w:r>
    </w:p>
    <w:p w14:paraId="1DAFD7EC" w14:textId="77777777" w:rsidR="00C30FCD" w:rsidRDefault="00C30FCD" w:rsidP="00C30FCD">
      <w:pPr>
        <w:numPr>
          <w:ilvl w:val="0"/>
          <w:numId w:val="5"/>
        </w:numPr>
        <w:tabs>
          <w:tab w:val="clear" w:pos="1065"/>
          <w:tab w:val="num" w:pos="360"/>
        </w:tabs>
        <w:spacing w:line="288" w:lineRule="auto"/>
        <w:ind w:left="360" w:hanging="360"/>
        <w:rPr>
          <w:bCs/>
        </w:rPr>
      </w:pPr>
      <w:r>
        <w:rPr>
          <w:bCs/>
        </w:rPr>
        <w:t xml:space="preserve">Hun opdracht is een voorstel te doen voor maatregelen om herhaling te voorkomen. </w:t>
      </w:r>
    </w:p>
    <w:p w14:paraId="7DFB3041" w14:textId="77777777" w:rsidR="00C30FCD" w:rsidRDefault="00C30FCD" w:rsidP="00C30FCD">
      <w:pPr>
        <w:numPr>
          <w:ilvl w:val="0"/>
          <w:numId w:val="5"/>
        </w:numPr>
        <w:tabs>
          <w:tab w:val="clear" w:pos="1065"/>
          <w:tab w:val="num" w:pos="360"/>
        </w:tabs>
        <w:spacing w:line="288" w:lineRule="auto"/>
        <w:ind w:left="360" w:hanging="360"/>
        <w:rPr>
          <w:bCs/>
        </w:rPr>
      </w:pPr>
      <w:r>
        <w:rPr>
          <w:bCs/>
        </w:rPr>
        <w:t>Laat plenair rapporteren</w:t>
      </w:r>
    </w:p>
    <w:p w14:paraId="28771E4F" w14:textId="77777777" w:rsidR="00C30FCD" w:rsidRDefault="00C30FCD" w:rsidP="00C30FCD">
      <w:pPr>
        <w:pStyle w:val="Voettekst"/>
        <w:tabs>
          <w:tab w:val="clear" w:pos="4536"/>
          <w:tab w:val="clear" w:pos="9072"/>
        </w:tabs>
        <w:spacing w:line="288" w:lineRule="auto"/>
        <w:rPr>
          <w:bCs/>
          <w:lang w:val="nl-NL" w:eastAsia="nl-NL"/>
        </w:rPr>
      </w:pPr>
    </w:p>
    <w:p w14:paraId="7CD2775D" w14:textId="77777777" w:rsidR="00C30FCD" w:rsidRDefault="00C30FCD" w:rsidP="00C30FCD">
      <w:pPr>
        <w:spacing w:line="288" w:lineRule="auto"/>
        <w:rPr>
          <w:bCs/>
        </w:rPr>
      </w:pPr>
      <w:r>
        <w:rPr>
          <w:bCs/>
        </w:rPr>
        <w:t xml:space="preserve">Overwegingen bij de taak van de huisarts. </w:t>
      </w:r>
    </w:p>
    <w:p w14:paraId="313A339B" w14:textId="77777777" w:rsidR="00C30FCD" w:rsidRDefault="00C30FCD" w:rsidP="00C30FCD">
      <w:pPr>
        <w:numPr>
          <w:ilvl w:val="0"/>
          <w:numId w:val="3"/>
        </w:numPr>
        <w:tabs>
          <w:tab w:val="clear" w:pos="720"/>
          <w:tab w:val="num" w:pos="360"/>
        </w:tabs>
        <w:spacing w:line="288" w:lineRule="auto"/>
        <w:ind w:left="360"/>
        <w:rPr>
          <w:bCs/>
        </w:rPr>
      </w:pPr>
      <w:r w:rsidRPr="00C30FCD">
        <w:rPr>
          <w:bCs/>
        </w:rPr>
        <w:lastRenderedPageBreak/>
        <w:t xml:space="preserve">De huisarts is eindverantwoordelijk voor de zorg en daarmee voor het superviseren van werkprocessen. Als </w:t>
      </w:r>
      <w:proofErr w:type="spellStart"/>
      <w:r w:rsidRPr="00C30FCD">
        <w:rPr>
          <w:bCs/>
        </w:rPr>
        <w:t>hidha</w:t>
      </w:r>
      <w:proofErr w:type="spellEnd"/>
      <w:r w:rsidRPr="00C30FCD">
        <w:rPr>
          <w:bCs/>
        </w:rPr>
        <w:t xml:space="preserve"> waarnemer of </w:t>
      </w:r>
      <w:proofErr w:type="spellStart"/>
      <w:r w:rsidRPr="00C30FCD">
        <w:rPr>
          <w:bCs/>
        </w:rPr>
        <w:t>Aios</w:t>
      </w:r>
      <w:proofErr w:type="spellEnd"/>
      <w:r w:rsidRPr="00C30FCD">
        <w:rPr>
          <w:bCs/>
        </w:rPr>
        <w:t xml:space="preserve"> heb je een gedeelde verantwoordelijkheid</w:t>
      </w:r>
    </w:p>
    <w:p w14:paraId="20DA8EDD" w14:textId="77777777" w:rsidR="00C30FCD" w:rsidRPr="00C30FCD" w:rsidRDefault="00C30FCD" w:rsidP="00C30FCD">
      <w:pPr>
        <w:numPr>
          <w:ilvl w:val="0"/>
          <w:numId w:val="3"/>
        </w:numPr>
        <w:tabs>
          <w:tab w:val="clear" w:pos="720"/>
          <w:tab w:val="num" w:pos="360"/>
        </w:tabs>
        <w:spacing w:line="288" w:lineRule="auto"/>
        <w:ind w:left="360"/>
        <w:rPr>
          <w:bCs/>
        </w:rPr>
      </w:pPr>
      <w:r w:rsidRPr="00C30FCD">
        <w:rPr>
          <w:bCs/>
        </w:rPr>
        <w:t>De melder wordt beïnvloed in de inhoud en vorm van de melding, als hij weet dat er voor hem nadelige consequenties aan melden zit, maar ook als hij weet dat die er niet zullen zijn.</w:t>
      </w:r>
    </w:p>
    <w:p w14:paraId="7BA767AF" w14:textId="77777777" w:rsidR="00C30FCD" w:rsidRDefault="00C30FCD" w:rsidP="00C30FCD">
      <w:pPr>
        <w:numPr>
          <w:ilvl w:val="0"/>
          <w:numId w:val="3"/>
        </w:numPr>
        <w:tabs>
          <w:tab w:val="clear" w:pos="720"/>
          <w:tab w:val="num" w:pos="360"/>
        </w:tabs>
        <w:spacing w:line="288" w:lineRule="auto"/>
        <w:ind w:left="360"/>
        <w:rPr>
          <w:bCs/>
        </w:rPr>
      </w:pPr>
      <w:r>
        <w:rPr>
          <w:bCs/>
        </w:rPr>
        <w:t xml:space="preserve">De huisarts die onacceptabele zorg blijft leveren door geen maatregelen te nemen terwijl hij weet dat iemand disfunctioneert is (mede)verantwoordelijk. </w:t>
      </w:r>
    </w:p>
    <w:p w14:paraId="604195A4" w14:textId="77777777" w:rsidR="00C30FCD" w:rsidRDefault="00C30FCD" w:rsidP="00C30FCD">
      <w:pPr>
        <w:numPr>
          <w:ilvl w:val="0"/>
          <w:numId w:val="3"/>
        </w:numPr>
        <w:tabs>
          <w:tab w:val="clear" w:pos="720"/>
          <w:tab w:val="num" w:pos="360"/>
        </w:tabs>
        <w:spacing w:line="288" w:lineRule="auto"/>
        <w:ind w:left="360"/>
        <w:rPr>
          <w:bCs/>
        </w:rPr>
      </w:pPr>
      <w:r>
        <w:rPr>
          <w:bCs/>
        </w:rPr>
        <w:t>Het ontslaan van medewerkers of hen ontheffen van de taak, is een manier om de kwaliteit te verbeteren.</w:t>
      </w:r>
    </w:p>
    <w:p w14:paraId="4F16922A" w14:textId="77777777" w:rsidR="00C30FCD" w:rsidRDefault="00C30FCD" w:rsidP="00C30FCD">
      <w:pPr>
        <w:spacing w:line="288" w:lineRule="auto"/>
        <w:rPr>
          <w:bCs/>
        </w:rPr>
      </w:pPr>
    </w:p>
    <w:p w14:paraId="2FF22A14" w14:textId="77777777" w:rsidR="00C30FCD" w:rsidRDefault="00C30FCD" w:rsidP="00C30FCD">
      <w:pPr>
        <w:spacing w:line="288" w:lineRule="auto"/>
        <w:rPr>
          <w:bCs/>
        </w:rPr>
      </w:pPr>
      <w:r>
        <w:rPr>
          <w:bCs/>
        </w:rPr>
        <w:t>Vragen:</w:t>
      </w:r>
    </w:p>
    <w:p w14:paraId="78450C6A" w14:textId="77777777" w:rsidR="00C30FCD" w:rsidRDefault="00C30FCD" w:rsidP="00C30FCD">
      <w:pPr>
        <w:numPr>
          <w:ilvl w:val="0"/>
          <w:numId w:val="4"/>
        </w:numPr>
        <w:tabs>
          <w:tab w:val="clear" w:pos="1065"/>
          <w:tab w:val="num" w:pos="360"/>
        </w:tabs>
        <w:spacing w:line="288" w:lineRule="auto"/>
        <w:ind w:left="360" w:hanging="360"/>
        <w:rPr>
          <w:bCs/>
        </w:rPr>
      </w:pPr>
      <w:r>
        <w:rPr>
          <w:bCs/>
        </w:rPr>
        <w:t>Welke maatregelen wil je nemen om fouten in een van de besproken casussen te voorkomen.</w:t>
      </w:r>
    </w:p>
    <w:p w14:paraId="0BFA45D5" w14:textId="77777777" w:rsidR="00C30FCD" w:rsidRDefault="00C30FCD" w:rsidP="00C30FCD">
      <w:pPr>
        <w:numPr>
          <w:ilvl w:val="0"/>
          <w:numId w:val="4"/>
        </w:numPr>
        <w:tabs>
          <w:tab w:val="clear" w:pos="1065"/>
          <w:tab w:val="num" w:pos="360"/>
        </w:tabs>
        <w:spacing w:line="288" w:lineRule="auto"/>
        <w:ind w:left="360" w:hanging="360"/>
        <w:rPr>
          <w:bCs/>
        </w:rPr>
      </w:pPr>
      <w:r>
        <w:rPr>
          <w:bCs/>
        </w:rPr>
        <w:t>Hoe communiceer je die naar je medewerkers?</w:t>
      </w:r>
    </w:p>
    <w:p w14:paraId="1B55B1A8" w14:textId="77777777" w:rsidR="00C30FCD" w:rsidRDefault="00C30FCD" w:rsidP="00C30FCD">
      <w:pPr>
        <w:numPr>
          <w:ilvl w:val="0"/>
          <w:numId w:val="4"/>
        </w:numPr>
        <w:tabs>
          <w:tab w:val="clear" w:pos="1065"/>
          <w:tab w:val="num" w:pos="360"/>
        </w:tabs>
        <w:spacing w:line="288" w:lineRule="auto"/>
        <w:ind w:left="360" w:hanging="360"/>
        <w:rPr>
          <w:bCs/>
        </w:rPr>
      </w:pPr>
      <w:r>
        <w:rPr>
          <w:bCs/>
        </w:rPr>
        <w:t xml:space="preserve">Als je degene bent die een handtekening heeft gezet onder het verkeerde recept, hoe zou je dat willen bespreken? </w:t>
      </w:r>
    </w:p>
    <w:p w14:paraId="418D3320" w14:textId="77777777" w:rsidR="00C30FCD" w:rsidRDefault="00C30FCD" w:rsidP="00C30FCD">
      <w:pPr>
        <w:numPr>
          <w:ilvl w:val="0"/>
          <w:numId w:val="4"/>
        </w:numPr>
        <w:tabs>
          <w:tab w:val="clear" w:pos="1065"/>
          <w:tab w:val="num" w:pos="360"/>
        </w:tabs>
        <w:spacing w:line="288" w:lineRule="auto"/>
        <w:ind w:left="360" w:hanging="360"/>
        <w:rPr>
          <w:bCs/>
        </w:rPr>
      </w:pPr>
      <w:r>
        <w:rPr>
          <w:bCs/>
        </w:rPr>
        <w:t xml:space="preserve">Zijn er medewerkers met wie je apart gaat praten </w:t>
      </w:r>
      <w:proofErr w:type="spellStart"/>
      <w:r>
        <w:rPr>
          <w:bCs/>
        </w:rPr>
        <w:t>nav</w:t>
      </w:r>
      <w:proofErr w:type="spellEnd"/>
      <w:r>
        <w:rPr>
          <w:bCs/>
        </w:rPr>
        <w:t xml:space="preserve"> van deze casus?</w:t>
      </w:r>
    </w:p>
    <w:p w14:paraId="60EF3C33" w14:textId="77777777" w:rsidR="00C30FCD" w:rsidRDefault="00C30FCD" w:rsidP="00C30FCD">
      <w:pPr>
        <w:spacing w:line="288" w:lineRule="auto"/>
        <w:rPr>
          <w:bCs/>
        </w:rPr>
      </w:pPr>
    </w:p>
    <w:p w14:paraId="54E547BE" w14:textId="77777777" w:rsidR="00C30FCD" w:rsidRDefault="00C30FCD" w:rsidP="00C30FCD">
      <w:pPr>
        <w:spacing w:line="288" w:lineRule="auto"/>
        <w:rPr>
          <w:b/>
        </w:rPr>
      </w:pPr>
    </w:p>
    <w:p w14:paraId="7AFE2E58" w14:textId="77777777" w:rsidR="00C30FCD" w:rsidRDefault="00C30FCD" w:rsidP="00C30FCD">
      <w:pPr>
        <w:spacing w:line="288" w:lineRule="auto"/>
        <w:rPr>
          <w:b/>
        </w:rPr>
      </w:pPr>
    </w:p>
    <w:p w14:paraId="0444DC82" w14:textId="77777777" w:rsidR="00C30FCD" w:rsidRDefault="00C30FCD" w:rsidP="00C30FCD">
      <w:pPr>
        <w:numPr>
          <w:ilvl w:val="0"/>
          <w:numId w:val="1"/>
        </w:numPr>
        <w:tabs>
          <w:tab w:val="clear" w:pos="720"/>
          <w:tab w:val="num" w:pos="0"/>
        </w:tabs>
        <w:spacing w:line="288" w:lineRule="auto"/>
        <w:ind w:left="0" w:firstLine="0"/>
        <w:rPr>
          <w:b/>
        </w:rPr>
      </w:pPr>
      <w:r>
        <w:rPr>
          <w:b/>
        </w:rPr>
        <w:t>Tijdpad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1401"/>
        <w:gridCol w:w="2919"/>
      </w:tblGrid>
      <w:tr w:rsidR="00C30FCD" w14:paraId="19CF538C" w14:textId="77777777" w:rsidTr="00745CAB">
        <w:tc>
          <w:tcPr>
            <w:tcW w:w="1728" w:type="dxa"/>
          </w:tcPr>
          <w:p w14:paraId="60CC287D" w14:textId="77777777" w:rsidR="00C30FCD" w:rsidRDefault="00C30FCD" w:rsidP="00745CAB">
            <w:pPr>
              <w:rPr>
                <w:b/>
              </w:rPr>
            </w:pPr>
            <w:r>
              <w:rPr>
                <w:b/>
              </w:rPr>
              <w:t>minuten</w:t>
            </w:r>
          </w:p>
        </w:tc>
        <w:tc>
          <w:tcPr>
            <w:tcW w:w="3780" w:type="dxa"/>
          </w:tcPr>
          <w:p w14:paraId="133A2545" w14:textId="77777777" w:rsidR="00C30FCD" w:rsidRDefault="00C30FCD" w:rsidP="00745CAB">
            <w:pPr>
              <w:rPr>
                <w:b/>
              </w:rPr>
            </w:pPr>
            <w:r>
              <w:rPr>
                <w:b/>
              </w:rPr>
              <w:t>Programmaonderdeel</w:t>
            </w:r>
          </w:p>
        </w:tc>
        <w:tc>
          <w:tcPr>
            <w:tcW w:w="1401" w:type="dxa"/>
          </w:tcPr>
          <w:p w14:paraId="38B48416" w14:textId="77777777" w:rsidR="00C30FCD" w:rsidRDefault="00C30FCD" w:rsidP="00745CAB">
            <w:pPr>
              <w:rPr>
                <w:b/>
              </w:rPr>
            </w:pPr>
            <w:r>
              <w:rPr>
                <w:b/>
              </w:rPr>
              <w:t>Docent(en)</w:t>
            </w:r>
          </w:p>
        </w:tc>
        <w:tc>
          <w:tcPr>
            <w:tcW w:w="2919" w:type="dxa"/>
          </w:tcPr>
          <w:p w14:paraId="003C066E" w14:textId="77777777" w:rsidR="00C30FCD" w:rsidRDefault="00C30FCD" w:rsidP="00745CAB">
            <w:pPr>
              <w:rPr>
                <w:b/>
              </w:rPr>
            </w:pPr>
            <w:r>
              <w:rPr>
                <w:b/>
              </w:rPr>
              <w:t>Benodigde hulpmiddelen</w:t>
            </w:r>
          </w:p>
        </w:tc>
      </w:tr>
      <w:tr w:rsidR="00C30FCD" w14:paraId="1C53E366" w14:textId="77777777" w:rsidTr="00745CAB">
        <w:tc>
          <w:tcPr>
            <w:tcW w:w="1728" w:type="dxa"/>
          </w:tcPr>
          <w:p w14:paraId="41C4F46F" w14:textId="77777777" w:rsidR="00C30FCD" w:rsidRDefault="00C30FCD" w:rsidP="00745CAB">
            <w:r>
              <w:t>0 - 10</w:t>
            </w:r>
          </w:p>
        </w:tc>
        <w:tc>
          <w:tcPr>
            <w:tcW w:w="3780" w:type="dxa"/>
          </w:tcPr>
          <w:p w14:paraId="3BE20E9D" w14:textId="77777777" w:rsidR="00C30FCD" w:rsidRDefault="00C30FCD" w:rsidP="00745CAB">
            <w:r>
              <w:t>1. Inleiding</w:t>
            </w:r>
          </w:p>
        </w:tc>
        <w:tc>
          <w:tcPr>
            <w:tcW w:w="1401" w:type="dxa"/>
          </w:tcPr>
          <w:p w14:paraId="6A57633E" w14:textId="77777777" w:rsidR="00C30FCD" w:rsidRDefault="00C30FCD" w:rsidP="00745CAB">
            <w:r>
              <w:t>DOCENT</w:t>
            </w:r>
          </w:p>
        </w:tc>
        <w:tc>
          <w:tcPr>
            <w:tcW w:w="2919" w:type="dxa"/>
          </w:tcPr>
          <w:p w14:paraId="358722EE" w14:textId="77777777" w:rsidR="00C30FCD" w:rsidRDefault="00C30FCD" w:rsidP="00745CAB"/>
        </w:tc>
      </w:tr>
      <w:tr w:rsidR="00C30FCD" w14:paraId="7A151B7D" w14:textId="77777777" w:rsidTr="00745CAB">
        <w:tc>
          <w:tcPr>
            <w:tcW w:w="1728" w:type="dxa"/>
          </w:tcPr>
          <w:p w14:paraId="594778D9" w14:textId="77777777" w:rsidR="00C30FCD" w:rsidRDefault="00C30FCD" w:rsidP="00745CAB">
            <w:r>
              <w:t>10 - 35</w:t>
            </w:r>
          </w:p>
        </w:tc>
        <w:tc>
          <w:tcPr>
            <w:tcW w:w="3780" w:type="dxa"/>
          </w:tcPr>
          <w:p w14:paraId="25F410E6" w14:textId="77777777" w:rsidR="00C30FCD" w:rsidRDefault="00C30FCD" w:rsidP="00745CAB">
            <w:r>
              <w:t>2. Bespreking voorbereidende opdracht</w:t>
            </w:r>
          </w:p>
        </w:tc>
        <w:tc>
          <w:tcPr>
            <w:tcW w:w="1401" w:type="dxa"/>
          </w:tcPr>
          <w:p w14:paraId="1F3908E5" w14:textId="77777777" w:rsidR="00C30FCD" w:rsidRDefault="00C30FCD" w:rsidP="00745CAB">
            <w:r>
              <w:t>DOCENT</w:t>
            </w:r>
          </w:p>
        </w:tc>
        <w:tc>
          <w:tcPr>
            <w:tcW w:w="2919" w:type="dxa"/>
          </w:tcPr>
          <w:p w14:paraId="6A16FBA7" w14:textId="77777777" w:rsidR="00C30FCD" w:rsidRDefault="00C30FCD" w:rsidP="00745CAB">
            <w:r>
              <w:t>bijlage 1 De ingangstoets</w:t>
            </w:r>
          </w:p>
          <w:p w14:paraId="0EC113EE" w14:textId="77777777" w:rsidR="00C30FCD" w:rsidRDefault="00C30FCD" w:rsidP="00745CAB">
            <w:r>
              <w:t>PP De ingangstoets</w:t>
            </w:r>
          </w:p>
          <w:p w14:paraId="20265845" w14:textId="77777777" w:rsidR="00C30FCD" w:rsidRDefault="00C30FCD" w:rsidP="00745CAB">
            <w:r>
              <w:t>bijlage 1a de antwoordsleutel</w:t>
            </w:r>
          </w:p>
        </w:tc>
      </w:tr>
      <w:tr w:rsidR="00C30FCD" w14:paraId="4DBC7A1C" w14:textId="77777777" w:rsidTr="00745CAB">
        <w:trPr>
          <w:trHeight w:val="291"/>
        </w:trPr>
        <w:tc>
          <w:tcPr>
            <w:tcW w:w="1728" w:type="dxa"/>
          </w:tcPr>
          <w:p w14:paraId="16CC951B" w14:textId="77777777" w:rsidR="00C30FCD" w:rsidRDefault="00C30FCD" w:rsidP="00745CAB">
            <w:r>
              <w:t>35 - 75</w:t>
            </w:r>
          </w:p>
        </w:tc>
        <w:tc>
          <w:tcPr>
            <w:tcW w:w="3780" w:type="dxa"/>
          </w:tcPr>
          <w:p w14:paraId="4180E8AD" w14:textId="77777777" w:rsidR="00C30FCD" w:rsidRDefault="00C30FCD" w:rsidP="00745CAB">
            <w:r>
              <w:t>3. Incidenten bespreken per incident ongeveer 20 minuten</w:t>
            </w:r>
          </w:p>
        </w:tc>
        <w:tc>
          <w:tcPr>
            <w:tcW w:w="1401" w:type="dxa"/>
          </w:tcPr>
          <w:p w14:paraId="096B13B6" w14:textId="77777777" w:rsidR="00C30FCD" w:rsidRDefault="00C30FCD" w:rsidP="00745CAB">
            <w:r>
              <w:t>DOCENT</w:t>
            </w:r>
          </w:p>
        </w:tc>
        <w:tc>
          <w:tcPr>
            <w:tcW w:w="2919" w:type="dxa"/>
          </w:tcPr>
          <w:p w14:paraId="6BDFDEF1" w14:textId="77777777" w:rsidR="00C30FCD" w:rsidRDefault="00C30FCD" w:rsidP="00745CAB">
            <w:r>
              <w:t>Bijlage 2, De stap voor stap methode</w:t>
            </w:r>
          </w:p>
          <w:p w14:paraId="0678BBBD" w14:textId="77777777" w:rsidR="00C30FCD" w:rsidRDefault="00C30FCD" w:rsidP="00745CAB">
            <w:r>
              <w:t>Bijlage 3 casussen incidenten</w:t>
            </w:r>
          </w:p>
          <w:p w14:paraId="60C7029F" w14:textId="77777777" w:rsidR="00C30FCD" w:rsidRDefault="00C30FCD" w:rsidP="00745CAB">
            <w:r>
              <w:t>PP casussen stap voor stap.</w:t>
            </w:r>
          </w:p>
        </w:tc>
      </w:tr>
      <w:tr w:rsidR="00C30FCD" w14:paraId="236DAC83" w14:textId="77777777" w:rsidTr="00745CAB">
        <w:trPr>
          <w:trHeight w:val="291"/>
        </w:trPr>
        <w:tc>
          <w:tcPr>
            <w:tcW w:w="1728" w:type="dxa"/>
          </w:tcPr>
          <w:p w14:paraId="52A550AC" w14:textId="77777777" w:rsidR="00C30FCD" w:rsidRDefault="00C30FCD" w:rsidP="00745CAB">
            <w:r>
              <w:t>90- 135</w:t>
            </w:r>
          </w:p>
        </w:tc>
        <w:tc>
          <w:tcPr>
            <w:tcW w:w="3780" w:type="dxa"/>
          </w:tcPr>
          <w:p w14:paraId="2B14C1C9" w14:textId="77777777" w:rsidR="00C30FCD" w:rsidRDefault="00C30FCD" w:rsidP="00745CAB">
            <w:r>
              <w:t>De dagelijkse leiding van de huisarts</w:t>
            </w:r>
          </w:p>
        </w:tc>
        <w:tc>
          <w:tcPr>
            <w:tcW w:w="1401" w:type="dxa"/>
          </w:tcPr>
          <w:p w14:paraId="565AF3B1" w14:textId="77777777" w:rsidR="00C30FCD" w:rsidRDefault="00C30FCD" w:rsidP="00745CAB">
            <w:r>
              <w:t>DOCENT</w:t>
            </w:r>
          </w:p>
        </w:tc>
        <w:tc>
          <w:tcPr>
            <w:tcW w:w="2919" w:type="dxa"/>
          </w:tcPr>
          <w:p w14:paraId="7A43A590" w14:textId="77777777" w:rsidR="00C30FCD" w:rsidRDefault="00C30FCD" w:rsidP="00745CAB">
            <w:r>
              <w:t>Bijlage 4 Maatregelen</w:t>
            </w:r>
          </w:p>
          <w:p w14:paraId="10338478" w14:textId="77777777" w:rsidR="00C30FCD" w:rsidRDefault="00C30FCD" w:rsidP="00745CAB">
            <w:r>
              <w:t>Laatste dia’s PP stap voor stap.</w:t>
            </w:r>
          </w:p>
        </w:tc>
      </w:tr>
      <w:tr w:rsidR="00C30FCD" w14:paraId="382E12E2" w14:textId="77777777" w:rsidTr="00745CAB">
        <w:trPr>
          <w:trHeight w:val="291"/>
        </w:trPr>
        <w:tc>
          <w:tcPr>
            <w:tcW w:w="1728" w:type="dxa"/>
          </w:tcPr>
          <w:p w14:paraId="417FEAEB" w14:textId="77777777" w:rsidR="00C30FCD" w:rsidRDefault="00C30FCD" w:rsidP="00745CAB">
            <w:pPr>
              <w:pStyle w:val="Voettekst"/>
              <w:tabs>
                <w:tab w:val="clear" w:pos="4536"/>
                <w:tab w:val="clear" w:pos="9072"/>
              </w:tabs>
              <w:rPr>
                <w:lang w:val="nl-NL" w:eastAsia="nl-NL"/>
              </w:rPr>
            </w:pPr>
            <w:r>
              <w:rPr>
                <w:lang w:val="nl-NL" w:eastAsia="nl-NL"/>
              </w:rPr>
              <w:t>135 –145</w:t>
            </w:r>
          </w:p>
        </w:tc>
        <w:tc>
          <w:tcPr>
            <w:tcW w:w="3780" w:type="dxa"/>
          </w:tcPr>
          <w:p w14:paraId="6363FE3A" w14:textId="77777777" w:rsidR="00C30FCD" w:rsidRDefault="00C30FCD" w:rsidP="00745CAB">
            <w:r>
              <w:t>Evaluatie plannen voor herhaling</w:t>
            </w:r>
          </w:p>
        </w:tc>
        <w:tc>
          <w:tcPr>
            <w:tcW w:w="1401" w:type="dxa"/>
          </w:tcPr>
          <w:p w14:paraId="0E1CF481" w14:textId="77777777" w:rsidR="00C30FCD" w:rsidRDefault="00C30FCD" w:rsidP="00745CAB">
            <w:r>
              <w:t>Docent</w:t>
            </w:r>
          </w:p>
        </w:tc>
        <w:tc>
          <w:tcPr>
            <w:tcW w:w="2919" w:type="dxa"/>
          </w:tcPr>
          <w:p w14:paraId="07DCAEE4" w14:textId="77777777" w:rsidR="00C30FCD" w:rsidRDefault="00C30FCD" w:rsidP="00745CAB"/>
        </w:tc>
      </w:tr>
    </w:tbl>
    <w:p w14:paraId="5A972877" w14:textId="77777777" w:rsidR="00D769EB" w:rsidRDefault="00D769EB"/>
    <w:sectPr w:rsidR="00D769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648B" w14:textId="77777777" w:rsidR="00C30FCD" w:rsidRDefault="00C30FCD" w:rsidP="00C30FCD">
      <w:r>
        <w:separator/>
      </w:r>
    </w:p>
  </w:endnote>
  <w:endnote w:type="continuationSeparator" w:id="0">
    <w:p w14:paraId="7DE30E86" w14:textId="77777777" w:rsidR="00C30FCD" w:rsidRDefault="00C30FCD" w:rsidP="00C3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09D46" w14:textId="77777777" w:rsidR="00C30FCD" w:rsidRDefault="00C30FCD" w:rsidP="00C30FCD">
      <w:r>
        <w:separator/>
      </w:r>
    </w:p>
  </w:footnote>
  <w:footnote w:type="continuationSeparator" w:id="0">
    <w:p w14:paraId="725DF1DC" w14:textId="77777777" w:rsidR="00C30FCD" w:rsidRDefault="00C30FCD" w:rsidP="00C30FCD">
      <w:r>
        <w:continuationSeparator/>
      </w:r>
    </w:p>
  </w:footnote>
  <w:footnote w:id="1">
    <w:p w14:paraId="0A2BEF3C" w14:textId="77777777" w:rsidR="00C30FCD" w:rsidRDefault="00C30FCD" w:rsidP="00C30FCD">
      <w:pPr>
        <w:pStyle w:val="Voetnoottekst"/>
      </w:pPr>
      <w:r>
        <w:rPr>
          <w:rStyle w:val="Voetnootmarkering"/>
        </w:rPr>
        <w:footnoteRef/>
      </w:r>
      <w:r>
        <w:t xml:space="preserve"> Het gaat steeds beter! Activerende werkvormen voor de opleidingspraktijk. Bijkerk L, Heide var de W. BSL 2006 </w:t>
      </w:r>
      <w:proofErr w:type="spellStart"/>
      <w:r>
        <w:t>blz</w:t>
      </w:r>
      <w:proofErr w:type="spellEnd"/>
      <w:r>
        <w:t xml:space="preserve"> 202 -204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67E3" w14:textId="77777777" w:rsidR="002E14F7" w:rsidRDefault="002E14F7">
    <w:pPr>
      <w:pStyle w:val="Koptekst"/>
    </w:pPr>
    <w:r>
      <w:t>Docent handleiding Patiëntveiligheid, fouten en alledaags leiderschap.</w:t>
    </w:r>
  </w:p>
  <w:p w14:paraId="472D5704" w14:textId="77777777" w:rsidR="002E14F7" w:rsidRDefault="002E14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203F2"/>
    <w:multiLevelType w:val="hybridMultilevel"/>
    <w:tmpl w:val="1A7450B8"/>
    <w:lvl w:ilvl="0" w:tplc="003A12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CB5F7A"/>
    <w:multiLevelType w:val="hybridMultilevel"/>
    <w:tmpl w:val="469C4CF0"/>
    <w:lvl w:ilvl="0" w:tplc="D0782574">
      <w:start w:val="10"/>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BC1EF2"/>
    <w:multiLevelType w:val="hybridMultilevel"/>
    <w:tmpl w:val="6892FF6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87D407D"/>
    <w:multiLevelType w:val="hybridMultilevel"/>
    <w:tmpl w:val="891A47DC"/>
    <w:lvl w:ilvl="0" w:tplc="D0782574">
      <w:start w:val="10"/>
      <w:numFmt w:val="bullet"/>
      <w:lvlText w:val="-"/>
      <w:lvlJc w:val="left"/>
      <w:pPr>
        <w:tabs>
          <w:tab w:val="num" w:pos="2661"/>
        </w:tabs>
        <w:ind w:left="2661" w:hanging="705"/>
      </w:pPr>
      <w:rPr>
        <w:rFonts w:ascii="Times New Roman" w:eastAsia="Times New Roman" w:hAnsi="Times New Roman" w:cs="Times New Roman" w:hint="default"/>
      </w:rPr>
    </w:lvl>
    <w:lvl w:ilvl="1" w:tplc="04130019" w:tentative="1">
      <w:start w:val="1"/>
      <w:numFmt w:val="lowerLetter"/>
      <w:lvlText w:val="%2."/>
      <w:lvlJc w:val="left"/>
      <w:pPr>
        <w:tabs>
          <w:tab w:val="num" w:pos="3036"/>
        </w:tabs>
        <w:ind w:left="3036" w:hanging="360"/>
      </w:pPr>
    </w:lvl>
    <w:lvl w:ilvl="2" w:tplc="0413001B" w:tentative="1">
      <w:start w:val="1"/>
      <w:numFmt w:val="lowerRoman"/>
      <w:lvlText w:val="%3."/>
      <w:lvlJc w:val="right"/>
      <w:pPr>
        <w:tabs>
          <w:tab w:val="num" w:pos="3756"/>
        </w:tabs>
        <w:ind w:left="3756" w:hanging="180"/>
      </w:pPr>
    </w:lvl>
    <w:lvl w:ilvl="3" w:tplc="0413000F" w:tentative="1">
      <w:start w:val="1"/>
      <w:numFmt w:val="decimal"/>
      <w:lvlText w:val="%4."/>
      <w:lvlJc w:val="left"/>
      <w:pPr>
        <w:tabs>
          <w:tab w:val="num" w:pos="4476"/>
        </w:tabs>
        <w:ind w:left="4476" w:hanging="360"/>
      </w:pPr>
    </w:lvl>
    <w:lvl w:ilvl="4" w:tplc="04130019" w:tentative="1">
      <w:start w:val="1"/>
      <w:numFmt w:val="lowerLetter"/>
      <w:lvlText w:val="%5."/>
      <w:lvlJc w:val="left"/>
      <w:pPr>
        <w:tabs>
          <w:tab w:val="num" w:pos="5196"/>
        </w:tabs>
        <w:ind w:left="5196" w:hanging="360"/>
      </w:pPr>
    </w:lvl>
    <w:lvl w:ilvl="5" w:tplc="0413001B" w:tentative="1">
      <w:start w:val="1"/>
      <w:numFmt w:val="lowerRoman"/>
      <w:lvlText w:val="%6."/>
      <w:lvlJc w:val="right"/>
      <w:pPr>
        <w:tabs>
          <w:tab w:val="num" w:pos="5916"/>
        </w:tabs>
        <w:ind w:left="5916" w:hanging="180"/>
      </w:pPr>
    </w:lvl>
    <w:lvl w:ilvl="6" w:tplc="0413000F" w:tentative="1">
      <w:start w:val="1"/>
      <w:numFmt w:val="decimal"/>
      <w:lvlText w:val="%7."/>
      <w:lvlJc w:val="left"/>
      <w:pPr>
        <w:tabs>
          <w:tab w:val="num" w:pos="6636"/>
        </w:tabs>
        <w:ind w:left="6636" w:hanging="360"/>
      </w:pPr>
    </w:lvl>
    <w:lvl w:ilvl="7" w:tplc="04130019" w:tentative="1">
      <w:start w:val="1"/>
      <w:numFmt w:val="lowerLetter"/>
      <w:lvlText w:val="%8."/>
      <w:lvlJc w:val="left"/>
      <w:pPr>
        <w:tabs>
          <w:tab w:val="num" w:pos="7356"/>
        </w:tabs>
        <w:ind w:left="7356" w:hanging="360"/>
      </w:pPr>
    </w:lvl>
    <w:lvl w:ilvl="8" w:tplc="0413001B" w:tentative="1">
      <w:start w:val="1"/>
      <w:numFmt w:val="lowerRoman"/>
      <w:lvlText w:val="%9."/>
      <w:lvlJc w:val="right"/>
      <w:pPr>
        <w:tabs>
          <w:tab w:val="num" w:pos="8076"/>
        </w:tabs>
        <w:ind w:left="8076" w:hanging="180"/>
      </w:pPr>
    </w:lvl>
  </w:abstractNum>
  <w:abstractNum w:abstractNumId="4" w15:restartNumberingAfterBreak="0">
    <w:nsid w:val="6B363A1C"/>
    <w:multiLevelType w:val="hybridMultilevel"/>
    <w:tmpl w:val="19AA0E44"/>
    <w:lvl w:ilvl="0" w:tplc="D0782574">
      <w:start w:val="10"/>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CD"/>
    <w:rsid w:val="002E14F7"/>
    <w:rsid w:val="00373863"/>
    <w:rsid w:val="00C30FCD"/>
    <w:rsid w:val="00D769EB"/>
    <w:rsid w:val="00F314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ED21"/>
  <w15:docId w15:val="{C3F5E37C-50A0-4927-88CE-86F680E9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30FCD"/>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C30FCD"/>
    <w:pPr>
      <w:tabs>
        <w:tab w:val="center" w:pos="4536"/>
        <w:tab w:val="right" w:pos="9072"/>
      </w:tabs>
    </w:pPr>
    <w:rPr>
      <w:lang w:val="en-GB" w:eastAsia="en-US"/>
    </w:rPr>
  </w:style>
  <w:style w:type="character" w:customStyle="1" w:styleId="VoettekstChar">
    <w:name w:val="Voettekst Char"/>
    <w:basedOn w:val="Standaardalinea-lettertype"/>
    <w:link w:val="Voettekst"/>
    <w:semiHidden/>
    <w:rsid w:val="00C30FCD"/>
    <w:rPr>
      <w:rFonts w:ascii="Arial" w:eastAsia="Times New Roman" w:hAnsi="Arial" w:cs="Times New Roman"/>
      <w:sz w:val="20"/>
      <w:szCs w:val="24"/>
      <w:lang w:val="en-GB"/>
    </w:rPr>
  </w:style>
  <w:style w:type="paragraph" w:styleId="Voetnoottekst">
    <w:name w:val="footnote text"/>
    <w:basedOn w:val="Standaard"/>
    <w:link w:val="VoetnoottekstChar"/>
    <w:semiHidden/>
    <w:rsid w:val="00C30FCD"/>
    <w:rPr>
      <w:szCs w:val="20"/>
    </w:rPr>
  </w:style>
  <w:style w:type="character" w:customStyle="1" w:styleId="VoetnoottekstChar">
    <w:name w:val="Voetnoottekst Char"/>
    <w:basedOn w:val="Standaardalinea-lettertype"/>
    <w:link w:val="Voetnoottekst"/>
    <w:semiHidden/>
    <w:rsid w:val="00C30FCD"/>
    <w:rPr>
      <w:rFonts w:ascii="Arial" w:eastAsia="Times New Roman" w:hAnsi="Arial" w:cs="Times New Roman"/>
      <w:sz w:val="20"/>
      <w:szCs w:val="20"/>
      <w:lang w:eastAsia="nl-NL"/>
    </w:rPr>
  </w:style>
  <w:style w:type="character" w:styleId="Voetnootmarkering">
    <w:name w:val="footnote reference"/>
    <w:basedOn w:val="Standaardalinea-lettertype"/>
    <w:semiHidden/>
    <w:rsid w:val="00C30FCD"/>
    <w:rPr>
      <w:vertAlign w:val="superscript"/>
    </w:rPr>
  </w:style>
  <w:style w:type="paragraph" w:styleId="Koptekst">
    <w:name w:val="header"/>
    <w:basedOn w:val="Standaard"/>
    <w:link w:val="KoptekstChar"/>
    <w:uiPriority w:val="99"/>
    <w:unhideWhenUsed/>
    <w:rsid w:val="002E14F7"/>
    <w:pPr>
      <w:tabs>
        <w:tab w:val="center" w:pos="4536"/>
        <w:tab w:val="right" w:pos="9072"/>
      </w:tabs>
    </w:pPr>
  </w:style>
  <w:style w:type="character" w:customStyle="1" w:styleId="KoptekstChar">
    <w:name w:val="Koptekst Char"/>
    <w:basedOn w:val="Standaardalinea-lettertype"/>
    <w:link w:val="Koptekst"/>
    <w:uiPriority w:val="99"/>
    <w:rsid w:val="002E14F7"/>
    <w:rPr>
      <w:rFonts w:ascii="Arial" w:eastAsia="Times New Roman" w:hAnsi="Arial" w:cs="Times New Roman"/>
      <w:sz w:val="20"/>
      <w:szCs w:val="24"/>
      <w:lang w:eastAsia="nl-NL"/>
    </w:rPr>
  </w:style>
  <w:style w:type="paragraph" w:styleId="Ballontekst">
    <w:name w:val="Balloon Text"/>
    <w:basedOn w:val="Standaard"/>
    <w:link w:val="BallontekstChar"/>
    <w:uiPriority w:val="99"/>
    <w:semiHidden/>
    <w:unhideWhenUsed/>
    <w:rsid w:val="002E14F7"/>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4F7"/>
    <w:rPr>
      <w:rFonts w:ascii="Tahoma" w:eastAsia="Times New Roman" w:hAnsi="Tahoma" w:cs="Tahoma"/>
      <w:sz w:val="16"/>
      <w:szCs w:val="16"/>
      <w:lang w:eastAsia="nl-NL"/>
    </w:rPr>
  </w:style>
  <w:style w:type="character" w:styleId="Zwaar">
    <w:name w:val="Strong"/>
    <w:basedOn w:val="Standaardalinea-lettertype"/>
    <w:uiPriority w:val="22"/>
    <w:qFormat/>
    <w:rsid w:val="002E1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Reijnders</dc:creator>
  <cp:lastModifiedBy>Joyce Feenstra-Stroeve</cp:lastModifiedBy>
  <cp:revision>2</cp:revision>
  <dcterms:created xsi:type="dcterms:W3CDTF">2018-12-25T14:37:00Z</dcterms:created>
  <dcterms:modified xsi:type="dcterms:W3CDTF">2018-12-25T14:37:00Z</dcterms:modified>
</cp:coreProperties>
</file>