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A64E3" w14:textId="77777777" w:rsidR="00410A38" w:rsidRDefault="00410A38" w:rsidP="00410A38">
      <w:pPr>
        <w:rPr>
          <w:rFonts w:cs="Arial"/>
        </w:rPr>
      </w:pPr>
      <w:bookmarkStart w:id="0" w:name="_GoBack"/>
      <w:bookmarkEnd w:id="0"/>
      <w:r>
        <w:rPr>
          <w:rFonts w:cs="Arial"/>
          <w:b/>
        </w:rPr>
        <w:t>De ‘stap voor stap’ methode (incidentmethode)</w:t>
      </w:r>
      <w:r>
        <w:rPr>
          <w:rFonts w:cs="Arial"/>
        </w:rPr>
        <w:t xml:space="preserve"> </w:t>
      </w:r>
      <w:r>
        <w:rPr>
          <w:rFonts w:cs="Arial"/>
          <w:b/>
          <w:bCs/>
        </w:rPr>
        <w:t>bij het bespreken van incidenten.</w:t>
      </w:r>
      <w:r>
        <w:rPr>
          <w:rStyle w:val="Voetnootmarkering"/>
          <w:rFonts w:cs="Arial"/>
          <w:b/>
          <w:bCs/>
        </w:rPr>
        <w:footnoteReference w:id="1"/>
      </w:r>
    </w:p>
    <w:p w14:paraId="259D0859" w14:textId="77777777" w:rsidR="00410A38" w:rsidRDefault="00410A38" w:rsidP="00410A38">
      <w:pPr>
        <w:rPr>
          <w:rFonts w:cs="Arial"/>
        </w:rPr>
      </w:pPr>
    </w:p>
    <w:p w14:paraId="1455F46F" w14:textId="77777777" w:rsidR="00410A38" w:rsidRDefault="00410A38" w:rsidP="00410A38">
      <w:pPr>
        <w:pStyle w:val="Plattetekst"/>
        <w:rPr>
          <w:bCs w:val="0"/>
        </w:rPr>
      </w:pPr>
      <w:r>
        <w:rPr>
          <w:bCs w:val="0"/>
        </w:rPr>
        <w:t>Toelichting:</w:t>
      </w:r>
    </w:p>
    <w:p w14:paraId="408EFF58" w14:textId="77777777" w:rsidR="00410A38" w:rsidRDefault="00410A38" w:rsidP="00410A38">
      <w:pPr>
        <w:rPr>
          <w:rFonts w:cs="Arial"/>
        </w:rPr>
      </w:pPr>
      <w:r>
        <w:rPr>
          <w:rFonts w:cs="Arial"/>
        </w:rPr>
        <w:t xml:space="preserve">De ‘stap-voor-stap’ methode, ook wel incidentmethode genoemd, is een beproefde en effectieve werkvorm voor het bespreken van casuïstiek. De methode is ook geschikt voor het bespreken van incidenten in de patiëntenzorg, vooral als daar meerdere personen bij betrokken zijn. </w:t>
      </w:r>
    </w:p>
    <w:p w14:paraId="48E6B593" w14:textId="77777777" w:rsidR="00410A38" w:rsidRDefault="00410A38" w:rsidP="00410A38">
      <w:pPr>
        <w:rPr>
          <w:rFonts w:cs="Arial"/>
        </w:rPr>
      </w:pPr>
    </w:p>
    <w:p w14:paraId="55D0A3BD" w14:textId="77777777" w:rsidR="00410A38" w:rsidRDefault="00410A38" w:rsidP="00410A38">
      <w:pPr>
        <w:rPr>
          <w:rFonts w:cs="Arial"/>
          <w:b/>
        </w:rPr>
      </w:pPr>
      <w:r>
        <w:rPr>
          <w:rFonts w:cs="Arial"/>
          <w:b/>
        </w:rPr>
        <w:t>Globale beschrijving van de methode:</w:t>
      </w:r>
    </w:p>
    <w:p w14:paraId="4026739C" w14:textId="77777777" w:rsidR="00410A38" w:rsidRDefault="00410A38" w:rsidP="00410A38">
      <w:pPr>
        <w:rPr>
          <w:rFonts w:cs="Arial"/>
        </w:rPr>
      </w:pPr>
    </w:p>
    <w:p w14:paraId="1E2DFB5F" w14:textId="77777777" w:rsidR="00410A38" w:rsidRDefault="00410A38" w:rsidP="00410A38">
      <w:pPr>
        <w:rPr>
          <w:rFonts w:cs="Arial"/>
        </w:rPr>
      </w:pPr>
      <w:r>
        <w:rPr>
          <w:rFonts w:cs="Arial"/>
        </w:rPr>
        <w:t xml:space="preserve">De essentie is, dat je als verantwoordelijk dokter stap voor stap het proces doorloopt waarin het incident zich aan jou ontvouwt.  </w:t>
      </w:r>
    </w:p>
    <w:p w14:paraId="65111ADD" w14:textId="77777777" w:rsidR="00410A38" w:rsidRDefault="00410A38" w:rsidP="00410A38">
      <w:pPr>
        <w:rPr>
          <w:rFonts w:cs="Arial"/>
        </w:rPr>
      </w:pPr>
      <w:r>
        <w:rPr>
          <w:rFonts w:cs="Arial"/>
        </w:rPr>
        <w:t xml:space="preserve">De inbrenger, die het incident heeft meegemaakt, vertelt het incident stukje bij beetje, waarbij er steeds een </w:t>
      </w:r>
      <w:r>
        <w:rPr>
          <w:rFonts w:cs="Arial"/>
          <w:b/>
          <w:bCs/>
        </w:rPr>
        <w:t>stop</w:t>
      </w:r>
      <w:r>
        <w:rPr>
          <w:rFonts w:cs="Arial"/>
        </w:rPr>
        <w:t xml:space="preserve"> in het verhaal gemaakt wordt vlak vóór er een besloten moet worden hoe verder te gaan.</w:t>
      </w:r>
    </w:p>
    <w:p w14:paraId="5C4088B2" w14:textId="77777777" w:rsidR="00410A38" w:rsidRDefault="00410A38" w:rsidP="00410A38">
      <w:pPr>
        <w:rPr>
          <w:rFonts w:cs="Arial"/>
        </w:rPr>
      </w:pPr>
      <w:r>
        <w:rPr>
          <w:rFonts w:cs="Arial"/>
        </w:rPr>
        <w:t xml:space="preserve">Bij elke stop worden de overige cursisten uitgenodigd om hún denkproces over de situatie te expliciteren en eventuele aanvullende vragen te stellen aan de inbrenger, waarna zij uitgenodigd worden te vertellen wat zij in de beschreven situatie feitelijk zouden hebben gedaan. </w:t>
      </w:r>
    </w:p>
    <w:p w14:paraId="32C8EA88" w14:textId="77777777" w:rsidR="00410A38" w:rsidRDefault="00410A38" w:rsidP="00410A38">
      <w:pPr>
        <w:rPr>
          <w:rFonts w:cs="Arial"/>
        </w:rPr>
      </w:pPr>
      <w:r>
        <w:rPr>
          <w:rFonts w:cs="Arial"/>
        </w:rPr>
        <w:t xml:space="preserve">Daarop vertelt de inbrenger wat hij/zij in het echt gedaan heeft en vertelt dan weer het volgende stukje van de casus tot aan het volgende relevante beslismoment, </w:t>
      </w:r>
      <w:proofErr w:type="spellStart"/>
      <w:r>
        <w:rPr>
          <w:rFonts w:cs="Arial"/>
        </w:rPr>
        <w:t>etc</w:t>
      </w:r>
      <w:proofErr w:type="spellEnd"/>
    </w:p>
    <w:p w14:paraId="60DA4363" w14:textId="77777777" w:rsidR="00410A38" w:rsidRDefault="00410A38" w:rsidP="00410A38">
      <w:pPr>
        <w:rPr>
          <w:rFonts w:cs="Arial"/>
        </w:rPr>
      </w:pPr>
      <w:r>
        <w:rPr>
          <w:rFonts w:cs="Arial"/>
        </w:rPr>
        <w:t>Als de inbrenger tevens de situatie waarin hij zich bevindt beschrijft wordt de beleving en het meebeleven echter..</w:t>
      </w:r>
    </w:p>
    <w:p w14:paraId="305820F5" w14:textId="77777777" w:rsidR="00410A38" w:rsidRDefault="00410A38" w:rsidP="00410A38">
      <w:pPr>
        <w:rPr>
          <w:rFonts w:cs="Arial"/>
        </w:rPr>
      </w:pPr>
    </w:p>
    <w:p w14:paraId="3FF51160" w14:textId="77777777" w:rsidR="00410A38" w:rsidRDefault="00410A38" w:rsidP="00410A38">
      <w:pPr>
        <w:rPr>
          <w:rFonts w:cs="Arial"/>
          <w:b/>
        </w:rPr>
      </w:pPr>
      <w:r>
        <w:rPr>
          <w:rFonts w:cs="Arial"/>
          <w:b/>
        </w:rPr>
        <w:t>Suggesties voor de stopmomenten en mogelijke vragen:</w:t>
      </w:r>
    </w:p>
    <w:p w14:paraId="37A85675" w14:textId="77777777" w:rsidR="00410A38" w:rsidRDefault="00410A38" w:rsidP="00410A38">
      <w:pPr>
        <w:rPr>
          <w:rFonts w:cs="Arial"/>
        </w:rPr>
      </w:pPr>
    </w:p>
    <w:p w14:paraId="5009A463" w14:textId="77777777" w:rsidR="00410A38" w:rsidRDefault="00410A38" w:rsidP="00410A38">
      <w:pPr>
        <w:rPr>
          <w:rFonts w:cs="Arial"/>
        </w:rPr>
      </w:pPr>
      <w:r>
        <w:rPr>
          <w:rFonts w:cs="Arial"/>
        </w:rPr>
        <w:t xml:space="preserve">Er zijn hiervoor meerdere mogelijkheden, die ook bepaald worden door de soort casus. Dit is een voorbeeld. De vragen, die het best zicht geven op de competenties van de deelnemers zijn vet en schuin gemarkeerd. </w:t>
      </w:r>
    </w:p>
    <w:p w14:paraId="1CF45AA9" w14:textId="77777777" w:rsidR="00410A38" w:rsidRDefault="00410A38" w:rsidP="00410A38">
      <w:pPr>
        <w:rPr>
          <w:rFonts w:cs="Arial"/>
        </w:rPr>
      </w:pPr>
    </w:p>
    <w:p w14:paraId="6546C010" w14:textId="77777777" w:rsidR="00410A38" w:rsidRDefault="00410A38" w:rsidP="00410A38">
      <w:pPr>
        <w:numPr>
          <w:ilvl w:val="0"/>
          <w:numId w:val="1"/>
        </w:numPr>
        <w:rPr>
          <w:rFonts w:cs="Arial"/>
        </w:rPr>
      </w:pPr>
      <w:r>
        <w:rPr>
          <w:rFonts w:cs="Arial"/>
        </w:rPr>
        <w:t>De melding</w:t>
      </w:r>
    </w:p>
    <w:p w14:paraId="66430844" w14:textId="77777777" w:rsidR="00410A38" w:rsidRDefault="00410A38" w:rsidP="00410A38">
      <w:pPr>
        <w:ind w:left="708"/>
        <w:rPr>
          <w:rFonts w:cs="Arial"/>
        </w:rPr>
      </w:pPr>
      <w:r>
        <w:rPr>
          <w:rFonts w:cs="Arial"/>
        </w:rPr>
        <w:t xml:space="preserve">De inbrenger vertelt in welke situatie de melding hem/haar bereikte en de letterlijke tekst van de melding </w:t>
      </w:r>
    </w:p>
    <w:p w14:paraId="34A10C78" w14:textId="77777777" w:rsidR="00410A38" w:rsidRDefault="00410A38" w:rsidP="00410A38">
      <w:pPr>
        <w:ind w:left="708"/>
        <w:rPr>
          <w:rFonts w:cs="Arial"/>
        </w:rPr>
      </w:pPr>
      <w:r>
        <w:rPr>
          <w:rFonts w:cs="Arial"/>
          <w:b/>
        </w:rPr>
        <w:t>–stop-</w:t>
      </w:r>
      <w:r>
        <w:rPr>
          <w:rFonts w:cs="Arial"/>
        </w:rPr>
        <w:t xml:space="preserve"> vragen aan de groep: ‘waar denk je aan’? ‘wat zou dit kunnen zijn’? wat zou je nu doen? ( eerst praten met de inbrenger ? of direct de patent bellen? etc.)</w:t>
      </w:r>
    </w:p>
    <w:p w14:paraId="2168236C" w14:textId="77777777" w:rsidR="00410A38" w:rsidRDefault="00410A38" w:rsidP="00410A38">
      <w:pPr>
        <w:numPr>
          <w:ilvl w:val="0"/>
          <w:numId w:val="1"/>
        </w:numPr>
        <w:rPr>
          <w:rFonts w:cs="Arial"/>
        </w:rPr>
      </w:pPr>
      <w:r>
        <w:rPr>
          <w:rFonts w:cs="Arial"/>
        </w:rPr>
        <w:t xml:space="preserve">Na het bespreken van deze eerste stap vertelt de inbrenger hoe hij/zij met de melding is omgegaan, hoe het contact met de melder feitelijk gelopen is. Hij vermeldt de omstandigheden waarin het proces zich afspeelt.  </w:t>
      </w:r>
    </w:p>
    <w:p w14:paraId="3323B92E" w14:textId="77777777" w:rsidR="00410A38" w:rsidRDefault="00410A38" w:rsidP="00410A38">
      <w:pPr>
        <w:ind w:left="708"/>
        <w:rPr>
          <w:rFonts w:cs="Arial"/>
          <w:b/>
          <w:i/>
        </w:rPr>
      </w:pPr>
      <w:r>
        <w:rPr>
          <w:rFonts w:cs="Arial"/>
          <w:b/>
        </w:rPr>
        <w:t>–stop-</w:t>
      </w:r>
      <w:r>
        <w:rPr>
          <w:rFonts w:cs="Arial"/>
        </w:rPr>
        <w:t xml:space="preserve"> vragen aan de groep: ‘Zijn er nog aanvullende vragen?’ ‘Verandert wat er te zien is je aanvankelijke idee van na de melding?’, ‘Waar denk je nu aan?’ En vervolgens: </w:t>
      </w:r>
      <w:r>
        <w:rPr>
          <w:rFonts w:cs="Arial"/>
          <w:b/>
          <w:i/>
        </w:rPr>
        <w:t>‘Wat zou je nu zelf gaan vragen en/of onderzoeken?’.</w:t>
      </w:r>
    </w:p>
    <w:p w14:paraId="7C83F678" w14:textId="77777777" w:rsidR="00410A38" w:rsidRDefault="00410A38" w:rsidP="00410A38">
      <w:pPr>
        <w:numPr>
          <w:ilvl w:val="0"/>
          <w:numId w:val="1"/>
        </w:numPr>
        <w:rPr>
          <w:rFonts w:cs="Arial"/>
        </w:rPr>
      </w:pPr>
      <w:r>
        <w:rPr>
          <w:rFonts w:cs="Arial"/>
        </w:rPr>
        <w:t xml:space="preserve">Na het bespreken van deze tweede stap vertelt de inbrenger hoe hij/zij met de melding verder is gegaan, hoe het werkelijk gelopen is en hij vermeldt de omstandigheden waarin het proces zich afspeelt.  </w:t>
      </w:r>
    </w:p>
    <w:p w14:paraId="6D9354D9" w14:textId="77777777" w:rsidR="00410A38" w:rsidRDefault="00410A38" w:rsidP="00410A38">
      <w:pPr>
        <w:ind w:left="708"/>
        <w:rPr>
          <w:rFonts w:cs="Arial"/>
        </w:rPr>
      </w:pPr>
      <w:r>
        <w:rPr>
          <w:rFonts w:cs="Arial"/>
          <w:b/>
        </w:rPr>
        <w:t>–stop-</w:t>
      </w:r>
      <w:r>
        <w:rPr>
          <w:rFonts w:cs="Arial"/>
        </w:rPr>
        <w:t xml:space="preserve"> vragen aan de groep: ‘Zijn er nog aanvullende vragen?’ ‘Verandert wat er te zien is je aanvankelijke idee van na de melding?’, ‘Waar denk je nu aan?’ En vervolgens: </w:t>
      </w:r>
      <w:r>
        <w:rPr>
          <w:rFonts w:cs="Arial"/>
          <w:b/>
          <w:i/>
        </w:rPr>
        <w:t>‘Wat zou je nu zelf gaan vragen en/of onderzoeken?’.</w:t>
      </w:r>
    </w:p>
    <w:p w14:paraId="482B0164" w14:textId="77777777" w:rsidR="00410A38" w:rsidRDefault="00410A38" w:rsidP="00410A38">
      <w:pPr>
        <w:numPr>
          <w:ilvl w:val="0"/>
          <w:numId w:val="1"/>
        </w:numPr>
        <w:rPr>
          <w:rFonts w:cs="Arial"/>
        </w:rPr>
      </w:pPr>
      <w:r>
        <w:rPr>
          <w:rFonts w:cs="Arial"/>
        </w:rPr>
        <w:t xml:space="preserve">Deze stappen moeten zo vaak herhaald worden als nodig om helderheid te krijgen. </w:t>
      </w:r>
    </w:p>
    <w:p w14:paraId="34E13D35" w14:textId="77777777" w:rsidR="00D769EB" w:rsidRDefault="00D769EB" w:rsidP="00410A38"/>
    <w:sectPr w:rsidR="00D769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ED47" w14:textId="77777777" w:rsidR="00410A38" w:rsidRDefault="00410A38" w:rsidP="00410A38">
      <w:r>
        <w:separator/>
      </w:r>
    </w:p>
  </w:endnote>
  <w:endnote w:type="continuationSeparator" w:id="0">
    <w:p w14:paraId="71E828A0" w14:textId="77777777" w:rsidR="00410A38" w:rsidRDefault="00410A38" w:rsidP="0041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5F8F7" w14:textId="77777777" w:rsidR="00410A38" w:rsidRDefault="00410A38" w:rsidP="00410A38">
      <w:r>
        <w:separator/>
      </w:r>
    </w:p>
  </w:footnote>
  <w:footnote w:type="continuationSeparator" w:id="0">
    <w:p w14:paraId="38EFCE9D" w14:textId="77777777" w:rsidR="00410A38" w:rsidRDefault="00410A38" w:rsidP="00410A38">
      <w:r>
        <w:continuationSeparator/>
      </w:r>
    </w:p>
  </w:footnote>
  <w:footnote w:id="1">
    <w:p w14:paraId="73FE8F3D" w14:textId="77777777" w:rsidR="00410A38" w:rsidRDefault="00410A38" w:rsidP="00410A38">
      <w:pPr>
        <w:pStyle w:val="Voetnoottekst"/>
      </w:pPr>
      <w:r>
        <w:rPr>
          <w:rStyle w:val="Voetnootmarkering"/>
        </w:rPr>
        <w:footnoteRef/>
      </w:r>
      <w:r>
        <w:t xml:space="preserve"> Deze methode staat beschreven: ‘Het gaat steeds beter! Activerende werkvormen voor de opleidingspraktijk’. Bijkerk L, Heide var de W. BSL 2006 </w:t>
      </w:r>
      <w:proofErr w:type="spellStart"/>
      <w:r>
        <w:t>blz</w:t>
      </w:r>
      <w:proofErr w:type="spellEnd"/>
      <w:r>
        <w:t xml:space="preserve"> 202 -204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96661"/>
    <w:multiLevelType w:val="hybridMultilevel"/>
    <w:tmpl w:val="A9D4B4C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38"/>
    <w:rsid w:val="00410A38"/>
    <w:rsid w:val="00D769EB"/>
    <w:rsid w:val="00F473A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1D09"/>
  <w15:docId w15:val="{0C7FC810-ED99-4165-BFC6-C4C3A307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10A38"/>
    <w:pPr>
      <w:spacing w:after="0" w:line="240" w:lineRule="auto"/>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410A38"/>
    <w:rPr>
      <w:rFonts w:cs="Arial"/>
      <w:b/>
      <w:bCs/>
    </w:rPr>
  </w:style>
  <w:style w:type="character" w:customStyle="1" w:styleId="PlattetekstChar">
    <w:name w:val="Platte tekst Char"/>
    <w:basedOn w:val="Standaardalinea-lettertype"/>
    <w:link w:val="Plattetekst"/>
    <w:semiHidden/>
    <w:rsid w:val="00410A38"/>
    <w:rPr>
      <w:rFonts w:ascii="Arial" w:eastAsia="Times New Roman" w:hAnsi="Arial" w:cs="Arial"/>
      <w:b/>
      <w:bCs/>
      <w:sz w:val="20"/>
      <w:szCs w:val="24"/>
      <w:lang w:eastAsia="nl-NL"/>
    </w:rPr>
  </w:style>
  <w:style w:type="paragraph" w:styleId="Voetnoottekst">
    <w:name w:val="footnote text"/>
    <w:basedOn w:val="Standaard"/>
    <w:link w:val="VoetnoottekstChar"/>
    <w:semiHidden/>
    <w:rsid w:val="00410A38"/>
    <w:rPr>
      <w:szCs w:val="20"/>
    </w:rPr>
  </w:style>
  <w:style w:type="character" w:customStyle="1" w:styleId="VoetnoottekstChar">
    <w:name w:val="Voetnoottekst Char"/>
    <w:basedOn w:val="Standaardalinea-lettertype"/>
    <w:link w:val="Voetnoottekst"/>
    <w:semiHidden/>
    <w:rsid w:val="00410A38"/>
    <w:rPr>
      <w:rFonts w:ascii="Arial" w:eastAsia="Times New Roman" w:hAnsi="Arial" w:cs="Times New Roman"/>
      <w:sz w:val="20"/>
      <w:szCs w:val="20"/>
      <w:lang w:eastAsia="nl-NL"/>
    </w:rPr>
  </w:style>
  <w:style w:type="character" w:styleId="Voetnootmarkering">
    <w:name w:val="footnote reference"/>
    <w:basedOn w:val="Standaardalinea-lettertype"/>
    <w:semiHidden/>
    <w:rsid w:val="00410A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VU medisch centrum</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Reijnders</dc:creator>
  <cp:lastModifiedBy>Joyce Feenstra-Stroeve</cp:lastModifiedBy>
  <cp:revision>2</cp:revision>
  <dcterms:created xsi:type="dcterms:W3CDTF">2018-12-25T14:31:00Z</dcterms:created>
  <dcterms:modified xsi:type="dcterms:W3CDTF">2018-12-25T14:31:00Z</dcterms:modified>
</cp:coreProperties>
</file>