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AFDB4" w14:textId="77777777" w:rsidR="006B7175" w:rsidRPr="00977709" w:rsidRDefault="006B7175" w:rsidP="006B7175">
      <w:pPr>
        <w:pStyle w:val="Heading1"/>
        <w:rPr>
          <w:b/>
          <w:bCs/>
          <w:u w:val="single"/>
        </w:rPr>
      </w:pPr>
      <w:bookmarkStart w:id="0" w:name="_Toc20339315"/>
      <w:r w:rsidRPr="00E7062D">
        <w:t xml:space="preserve">APC-onderwijsprogramma : </w:t>
      </w:r>
      <w:bookmarkEnd w:id="0"/>
      <w:r w:rsidRPr="00977709">
        <w:rPr>
          <w:b/>
          <w:bCs/>
          <w:u w:val="single"/>
        </w:rPr>
        <w:t>luisteren</w:t>
      </w:r>
      <w:r w:rsidR="00977709">
        <w:rPr>
          <w:b/>
          <w:bCs/>
          <w:u w:val="single"/>
        </w:rPr>
        <w:t>.</w:t>
      </w:r>
    </w:p>
    <w:p w14:paraId="3DF39AD0" w14:textId="77777777" w:rsidR="006B7175" w:rsidRPr="00BF57E1" w:rsidRDefault="006B7175" w:rsidP="006B7175"/>
    <w:p w14:paraId="4586EEC9" w14:textId="77777777" w:rsidR="006B7175" w:rsidRPr="00C87EE9" w:rsidRDefault="006B7175" w:rsidP="006B7175">
      <w:pPr>
        <w:rPr>
          <w:sz w:val="22"/>
        </w:rPr>
      </w:pPr>
      <w:r w:rsidRPr="00C221EC">
        <w:tab/>
      </w:r>
      <w:r w:rsidRPr="00C221EC">
        <w:tab/>
      </w:r>
      <w:r w:rsidRPr="00C87EE9">
        <w:rPr>
          <w:sz w:val="22"/>
        </w:rPr>
        <w:tab/>
      </w:r>
    </w:p>
    <w:p w14:paraId="64836AF6" w14:textId="77777777" w:rsidR="006B7175" w:rsidRDefault="006B7175" w:rsidP="006B7175">
      <w:pPr>
        <w:pStyle w:val="Heading2"/>
      </w:pPr>
      <w:r w:rsidRPr="006B31C0">
        <w:t>Aandachtspunten onderwijsprogramma</w:t>
      </w:r>
    </w:p>
    <w:p w14:paraId="20AB4652" w14:textId="77777777" w:rsidR="00AB58A4" w:rsidRPr="00AB58A4" w:rsidRDefault="00AB58A4" w:rsidP="00AB58A4"/>
    <w:p w14:paraId="65B5814B" w14:textId="77777777" w:rsidR="006B7175" w:rsidRDefault="006B7175" w:rsidP="006B7175">
      <w:r w:rsidRPr="00C87EE9">
        <w:t xml:space="preserve">Dit onderwijsprogramma </w:t>
      </w:r>
      <w:r>
        <w:t>behandelt een belangrijke ‘generieke’ vaardigheid: het luisteren.</w:t>
      </w:r>
    </w:p>
    <w:p w14:paraId="7F2DFB5A" w14:textId="77777777" w:rsidR="006B7175" w:rsidRDefault="006B7175" w:rsidP="006B7175">
      <w:r>
        <w:t xml:space="preserve">Beoogd wordt om voor </w:t>
      </w:r>
      <w:proofErr w:type="spellStart"/>
      <w:r>
        <w:t>aios</w:t>
      </w:r>
      <w:proofErr w:type="spellEnd"/>
      <w:r>
        <w:t xml:space="preserve"> het belang hiervan invoelbaar te maken. Daarop is de voorbereiding en de start van het programma gericht.</w:t>
      </w:r>
    </w:p>
    <w:p w14:paraId="2210951F" w14:textId="77777777" w:rsidR="006B7175" w:rsidRDefault="00AE6417" w:rsidP="006B7175">
      <w:r>
        <w:t>Uit literatuur blijkt</w:t>
      </w:r>
      <w:r w:rsidR="006B7175">
        <w:rPr>
          <w:vertAlign w:val="superscript"/>
        </w:rPr>
        <w:t xml:space="preserve"> </w:t>
      </w:r>
      <w:r w:rsidR="00ED6783">
        <w:t xml:space="preserve">namelijk  </w:t>
      </w:r>
      <w:r w:rsidR="006B7175">
        <w:t>dat een onderwijsaanpak gericht op ‘</w:t>
      </w:r>
      <w:r w:rsidR="006B7175" w:rsidRPr="001F047E">
        <w:rPr>
          <w:i/>
          <w:iCs/>
        </w:rPr>
        <w:t>attitude</w:t>
      </w:r>
      <w:r w:rsidR="006B7175">
        <w:t>’ van groot belang is en voorafgaat aan het stimuleren van ‘vaardigheden’.</w:t>
      </w:r>
    </w:p>
    <w:p w14:paraId="71358F9D" w14:textId="77777777" w:rsidR="00625AE5" w:rsidRDefault="00625AE5" w:rsidP="006B7175">
      <w:r>
        <w:t xml:space="preserve">Door </w:t>
      </w:r>
      <w:proofErr w:type="spellStart"/>
      <w:r>
        <w:t>aios</w:t>
      </w:r>
      <w:proofErr w:type="spellEnd"/>
      <w:r>
        <w:t xml:space="preserve"> een eigen p</w:t>
      </w:r>
      <w:r w:rsidR="004A47BF">
        <w:t>rettige</w:t>
      </w:r>
      <w:r>
        <w:t xml:space="preserve"> ervaring met luisteren te laten verwoorden (en te laten ervaren dat hiernaar </w:t>
      </w:r>
      <w:r w:rsidR="004A47BF">
        <w:t xml:space="preserve">goed </w:t>
      </w:r>
      <w:r>
        <w:t>wordt geluisterd)  wordt beoogd de eigen houding t.a.v. luisteren positief te beïnvloeden.</w:t>
      </w:r>
    </w:p>
    <w:p w14:paraId="2ED37392" w14:textId="77777777" w:rsidR="009C7962" w:rsidRDefault="009C7962" w:rsidP="006B7175">
      <w:r>
        <w:t>Hieruit komt ‘luisteren’ naar voren als een ervaring op drie terreinen:</w:t>
      </w:r>
    </w:p>
    <w:p w14:paraId="0105737F" w14:textId="77777777" w:rsidR="009C7962" w:rsidRDefault="009C7962" w:rsidP="009C7962">
      <w:pPr>
        <w:pStyle w:val="ListParagraph"/>
        <w:numPr>
          <w:ilvl w:val="0"/>
          <w:numId w:val="7"/>
        </w:numPr>
      </w:pPr>
      <w:r>
        <w:t>Fysiek: lichamelijke aanwezigheid, rust, stevigheid.</w:t>
      </w:r>
    </w:p>
    <w:p w14:paraId="492C7F3E" w14:textId="77777777" w:rsidR="009C7962" w:rsidRDefault="009C7962" w:rsidP="009C7962">
      <w:pPr>
        <w:pStyle w:val="ListParagraph"/>
        <w:numPr>
          <w:ilvl w:val="0"/>
          <w:numId w:val="7"/>
        </w:numPr>
      </w:pPr>
      <w:r>
        <w:t>Aandacht: bewust omgaan hiermee, gericht</w:t>
      </w:r>
      <w:bookmarkStart w:id="1" w:name="_GoBack"/>
      <w:bookmarkEnd w:id="1"/>
      <w:r>
        <w:t xml:space="preserve"> op de ander </w:t>
      </w:r>
      <w:proofErr w:type="spellStart"/>
      <w:r>
        <w:t>èn</w:t>
      </w:r>
      <w:proofErr w:type="spellEnd"/>
      <w:r>
        <w:t xml:space="preserve"> jezelf.</w:t>
      </w:r>
    </w:p>
    <w:p w14:paraId="4B1A3887" w14:textId="77777777" w:rsidR="009C7962" w:rsidRDefault="009C7962" w:rsidP="009C7962">
      <w:pPr>
        <w:pStyle w:val="ListParagraph"/>
        <w:numPr>
          <w:ilvl w:val="0"/>
          <w:numId w:val="7"/>
        </w:numPr>
      </w:pPr>
      <w:proofErr w:type="spellStart"/>
      <w:r>
        <w:t>Empatische</w:t>
      </w:r>
      <w:proofErr w:type="spellEnd"/>
      <w:r>
        <w:t xml:space="preserve"> zorg: geraakt worden, betrokkenheid.</w:t>
      </w:r>
    </w:p>
    <w:p w14:paraId="47F77187" w14:textId="77777777" w:rsidR="009C7962" w:rsidRDefault="009C7962" w:rsidP="009C7962">
      <w:pPr>
        <w:pStyle w:val="ListParagraph"/>
      </w:pPr>
    </w:p>
    <w:p w14:paraId="7ACB23C0" w14:textId="77777777" w:rsidR="006B7175" w:rsidRDefault="006B7175" w:rsidP="006B7175">
      <w:r>
        <w:t xml:space="preserve">In het tweede deel van het programma worden </w:t>
      </w:r>
      <w:r w:rsidR="00ED6783">
        <w:t>d</w:t>
      </w:r>
      <w:r w:rsidR="00625AE5">
        <w:t>an</w:t>
      </w:r>
      <w:r w:rsidR="00ED6783">
        <w:t xml:space="preserve"> </w:t>
      </w:r>
      <w:r>
        <w:t>luister</w:t>
      </w:r>
      <w:r w:rsidRPr="001F047E">
        <w:rPr>
          <w:i/>
          <w:iCs/>
        </w:rPr>
        <w:t>vaardigheden</w:t>
      </w:r>
      <w:r>
        <w:t xml:space="preserve"> behandeld en </w:t>
      </w:r>
      <w:r w:rsidR="00444FE8">
        <w:t xml:space="preserve">wordt daarmee </w:t>
      </w:r>
      <w:r>
        <w:t>geoefend.</w:t>
      </w:r>
    </w:p>
    <w:p w14:paraId="5E27898A" w14:textId="77777777" w:rsidR="006B7175" w:rsidRDefault="00D61B4B" w:rsidP="006B7175">
      <w:r>
        <w:t>Beide onderdelen zijn ook onafhankelijk van elkaar te gebruiken als kortere onderwijsprogramma’s ( van 60 resp. 40 minuten)</w:t>
      </w:r>
      <w:r w:rsidR="00012A52">
        <w:t>.</w:t>
      </w:r>
    </w:p>
    <w:p w14:paraId="2DD458A9" w14:textId="77777777" w:rsidR="006B7175" w:rsidRDefault="006B7175" w:rsidP="006B7175">
      <w:r>
        <w:t xml:space="preserve">Het programma is belangrijk in alles fasen van de opleiding. </w:t>
      </w:r>
    </w:p>
    <w:p w14:paraId="465A29F4" w14:textId="77777777" w:rsidR="00012A52" w:rsidRPr="00C87EE9" w:rsidRDefault="00012A52" w:rsidP="006B7175"/>
    <w:p w14:paraId="0C085853" w14:textId="77777777" w:rsidR="006B7175" w:rsidRPr="00E7062D" w:rsidRDefault="006B7175" w:rsidP="006B7175">
      <w:pPr>
        <w:pStyle w:val="Heading2"/>
      </w:pPr>
      <w:r w:rsidRPr="00E7062D">
        <w:t>Voorbereiding onderwijs</w:t>
      </w:r>
    </w:p>
    <w:p w14:paraId="37312419" w14:textId="77777777" w:rsidR="006B7175" w:rsidRPr="00C221EC" w:rsidRDefault="006B7175" w:rsidP="006B7175">
      <w:proofErr w:type="spellStart"/>
      <w:r>
        <w:t>Aios</w:t>
      </w:r>
      <w:proofErr w:type="spellEnd"/>
    </w:p>
    <w:p w14:paraId="7342928B" w14:textId="77777777" w:rsidR="006B7175" w:rsidRPr="009C166E" w:rsidRDefault="006B7175" w:rsidP="006B7175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Voer de ‘voorbereidingsopdracht’ uit (</w:t>
      </w:r>
      <w:proofErr w:type="spellStart"/>
      <w:r>
        <w:t>WiKi</w:t>
      </w:r>
      <w:proofErr w:type="spellEnd"/>
      <w:r>
        <w:t xml:space="preserve"> pagina ‘bouwsteen luisteren’)</w:t>
      </w:r>
    </w:p>
    <w:p w14:paraId="5BFCD8ED" w14:textId="77777777" w:rsidR="006B7175" w:rsidRPr="009C166E" w:rsidRDefault="006B7175" w:rsidP="006B7175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9C166E">
        <w:rPr>
          <w:color w:val="000000" w:themeColor="text1"/>
        </w:rPr>
        <w:t xml:space="preserve">Lees hoofdstuk 2 </w:t>
      </w:r>
      <w:r w:rsidRPr="009C166E">
        <w:rPr>
          <w:i/>
          <w:iCs/>
          <w:color w:val="000000" w:themeColor="text1"/>
        </w:rPr>
        <w:t xml:space="preserve">Consultmodel, communicatietaken en -vaardigheden </w:t>
      </w:r>
      <w:r w:rsidRPr="009C166E">
        <w:rPr>
          <w:color w:val="000000" w:themeColor="text1"/>
        </w:rPr>
        <w:t xml:space="preserve">uit ‘Handboek effectieve communicatie in de huisartsenpraktijk’, Dielissen et al., NHG-uitgave, 1e druk.  </w:t>
      </w:r>
    </w:p>
    <w:p w14:paraId="0E1AF4CF" w14:textId="77777777" w:rsidR="006B7175" w:rsidRPr="009C166E" w:rsidRDefault="006B7175" w:rsidP="006B7175">
      <w:pPr>
        <w:rPr>
          <w:color w:val="000000" w:themeColor="text1"/>
        </w:rPr>
      </w:pPr>
    </w:p>
    <w:p w14:paraId="3B2E7494" w14:textId="77777777" w:rsidR="006B7175" w:rsidRPr="006B7175" w:rsidRDefault="006B7175" w:rsidP="006B7175">
      <w:pPr>
        <w:rPr>
          <w:color w:val="000000" w:themeColor="text1"/>
        </w:rPr>
      </w:pPr>
      <w:r w:rsidRPr="009C166E">
        <w:rPr>
          <w:color w:val="000000" w:themeColor="text1"/>
        </w:rPr>
        <w:t>Docenten:</w:t>
      </w:r>
    </w:p>
    <w:p w14:paraId="003B2145" w14:textId="77777777" w:rsidR="006C2184" w:rsidRDefault="006C2184" w:rsidP="006B717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6C2184">
        <w:rPr>
          <w:color w:val="000000" w:themeColor="text1"/>
        </w:rPr>
        <w:t>Kondig het programma aan in de groep. Daarbij hoort een korte motiverende oefening</w:t>
      </w:r>
      <w:r>
        <w:rPr>
          <w:color w:val="000000" w:themeColor="text1"/>
        </w:rPr>
        <w:t xml:space="preserve"> ( zie: bronnen bij de bouwsteen ‘luisteren’)</w:t>
      </w:r>
    </w:p>
    <w:p w14:paraId="7777FCD3" w14:textId="77777777" w:rsidR="006B7175" w:rsidRPr="006C2184" w:rsidRDefault="006B7175" w:rsidP="006B7175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C221EC">
        <w:t xml:space="preserve">Lees </w:t>
      </w:r>
      <w:r w:rsidRPr="006C2184">
        <w:rPr>
          <w:color w:val="000000" w:themeColor="text1"/>
        </w:rPr>
        <w:t>bladzijde 61 e.v. uit ‘Vaardig communiceren in de gezondheidszorg’, Silverman et al., 3e druk.</w:t>
      </w:r>
    </w:p>
    <w:p w14:paraId="512B23AA" w14:textId="77777777" w:rsidR="006B7175" w:rsidRDefault="006B7175" w:rsidP="006B7175">
      <w:pPr>
        <w:pStyle w:val="ListParagraph"/>
        <w:numPr>
          <w:ilvl w:val="0"/>
          <w:numId w:val="3"/>
        </w:numPr>
      </w:pPr>
      <w:r>
        <w:t xml:space="preserve">Bereid </w:t>
      </w:r>
      <w:proofErr w:type="spellStart"/>
      <w:r w:rsidRPr="00C221EC">
        <w:t>Powerpoint</w:t>
      </w:r>
      <w:r>
        <w:t>-</w:t>
      </w:r>
      <w:r w:rsidRPr="00C221EC">
        <w:t>presentatie</w:t>
      </w:r>
      <w:proofErr w:type="spellEnd"/>
      <w:r w:rsidRPr="00C221EC">
        <w:t xml:space="preserve"> ‘</w:t>
      </w:r>
      <w:r>
        <w:t>Onderwijsprogramma luisteren</w:t>
      </w:r>
      <w:r w:rsidRPr="00C221EC">
        <w:t xml:space="preserve">’ </w:t>
      </w:r>
      <w:r>
        <w:t>voor</w:t>
      </w:r>
      <w:r w:rsidRPr="00C221EC">
        <w:t xml:space="preserve">, inclusief de docent-instructies </w:t>
      </w:r>
      <w:r>
        <w:t xml:space="preserve">in de notitieruimte </w:t>
      </w:r>
      <w:r w:rsidRPr="00C221EC">
        <w:t>onder de slides</w:t>
      </w:r>
      <w:r>
        <w:t xml:space="preserve">. </w:t>
      </w:r>
    </w:p>
    <w:p w14:paraId="7F04001A" w14:textId="77777777" w:rsidR="006B7175" w:rsidRPr="006C2184" w:rsidRDefault="006B7175" w:rsidP="006C2184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t>Bereid de ‘</w:t>
      </w:r>
      <w:proofErr w:type="spellStart"/>
      <w:r w:rsidR="009C7962">
        <w:t>aandachts</w:t>
      </w:r>
      <w:proofErr w:type="spellEnd"/>
      <w:r>
        <w:t xml:space="preserve"> oefening’ voor </w:t>
      </w:r>
      <w:r w:rsidR="006C2184">
        <w:rPr>
          <w:color w:val="000000" w:themeColor="text1"/>
        </w:rPr>
        <w:t>( zie: bronnen bij de bouwsteen ‘luisteren’)</w:t>
      </w:r>
    </w:p>
    <w:p w14:paraId="5784F35C" w14:textId="77777777" w:rsidR="006B7175" w:rsidRDefault="006B7175" w:rsidP="006B7175">
      <w:pPr>
        <w:pStyle w:val="ListParagraph"/>
        <w:numPr>
          <w:ilvl w:val="0"/>
          <w:numId w:val="3"/>
        </w:numPr>
      </w:pPr>
      <w:r>
        <w:t xml:space="preserve">Vul het onderwijs eventueel aan met eigen materiaal </w:t>
      </w:r>
    </w:p>
    <w:p w14:paraId="2278EB76" w14:textId="77777777" w:rsidR="00E82492" w:rsidRPr="00C221EC" w:rsidRDefault="00E82492" w:rsidP="006B7175">
      <w:pPr>
        <w:pStyle w:val="ListParagraph"/>
        <w:numPr>
          <w:ilvl w:val="0"/>
          <w:numId w:val="3"/>
        </w:numPr>
      </w:pPr>
      <w:r>
        <w:t xml:space="preserve">Dit OWP sluit aan bij andere </w:t>
      </w:r>
      <w:proofErr w:type="spellStart"/>
      <w:r>
        <w:t>OWP’s</w:t>
      </w:r>
      <w:proofErr w:type="spellEnd"/>
      <w:r>
        <w:t>, zoals ‘empathie’, ‘emoties’, en ‘begin van het consult’.</w:t>
      </w:r>
    </w:p>
    <w:p w14:paraId="13EDDBF2" w14:textId="77777777" w:rsidR="006B7175" w:rsidRDefault="006B7175" w:rsidP="006B7175"/>
    <w:p w14:paraId="271B90BB" w14:textId="77777777" w:rsidR="006B7175" w:rsidRPr="0008203F" w:rsidRDefault="006B7175" w:rsidP="006B7175">
      <w:pPr>
        <w:pStyle w:val="ListParagraph"/>
        <w:rPr>
          <w:color w:val="000000" w:themeColor="text1"/>
        </w:rPr>
      </w:pPr>
    </w:p>
    <w:p w14:paraId="678C2A27" w14:textId="77777777" w:rsidR="006B7175" w:rsidRPr="001B2C39" w:rsidRDefault="006B7175" w:rsidP="006B7175">
      <w:pPr>
        <w:pStyle w:val="Heading2"/>
      </w:pPr>
      <w:r w:rsidRPr="001B2C39">
        <w:t xml:space="preserve">Aanvullend onderwijsmateriaal </w:t>
      </w:r>
    </w:p>
    <w:p w14:paraId="0739FA4E" w14:textId="77777777" w:rsidR="006B7175" w:rsidRPr="00F00D35" w:rsidRDefault="006B7175" w:rsidP="006B7175">
      <w:r w:rsidRPr="001B2C39">
        <w:t>Niet van toepassing</w:t>
      </w:r>
    </w:p>
    <w:p w14:paraId="56443789" w14:textId="77777777" w:rsidR="006B7175" w:rsidRPr="00C87EE9" w:rsidRDefault="006B7175" w:rsidP="006B7175">
      <w:pPr>
        <w:pStyle w:val="ListParagraph"/>
      </w:pPr>
    </w:p>
    <w:p w14:paraId="12135B43" w14:textId="77777777" w:rsidR="00D61B4B" w:rsidRDefault="00D61B4B" w:rsidP="006B7175">
      <w:pPr>
        <w:pStyle w:val="Heading2"/>
      </w:pPr>
    </w:p>
    <w:p w14:paraId="0BA0E0AD" w14:textId="77777777" w:rsidR="00D61B4B" w:rsidRDefault="00D61B4B" w:rsidP="006B7175">
      <w:pPr>
        <w:pStyle w:val="Heading2"/>
      </w:pPr>
    </w:p>
    <w:p w14:paraId="35D7FD54" w14:textId="77777777" w:rsidR="00D61B4B" w:rsidRDefault="00D61B4B" w:rsidP="006B7175">
      <w:pPr>
        <w:pStyle w:val="Heading2"/>
      </w:pPr>
    </w:p>
    <w:p w14:paraId="3A1E46FF" w14:textId="77777777" w:rsidR="00D61B4B" w:rsidRDefault="00D61B4B" w:rsidP="006B7175">
      <w:pPr>
        <w:pStyle w:val="Heading2"/>
      </w:pPr>
    </w:p>
    <w:p w14:paraId="3696896B" w14:textId="77777777" w:rsidR="006B7175" w:rsidRPr="00BF57E1" w:rsidRDefault="006B7175" w:rsidP="006B7175">
      <w:pPr>
        <w:pStyle w:val="Heading2"/>
      </w:pPr>
      <w:r w:rsidRPr="00C87EE9">
        <w:t>Indeling onderwijs en geschatte tijdsduur</w:t>
      </w:r>
      <w:r>
        <w:br/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32"/>
        <w:gridCol w:w="697"/>
        <w:gridCol w:w="7585"/>
      </w:tblGrid>
      <w:tr w:rsidR="006B7175" w:rsidRPr="00BF57E1" w14:paraId="5200C196" w14:textId="77777777" w:rsidTr="00EC0139">
        <w:trPr>
          <w:trHeight w:val="472"/>
        </w:trPr>
        <w:tc>
          <w:tcPr>
            <w:tcW w:w="9214" w:type="dxa"/>
            <w:gridSpan w:val="3"/>
            <w:shd w:val="clear" w:color="auto" w:fill="E2EFD9" w:themeFill="accent6" w:themeFillTint="33"/>
          </w:tcPr>
          <w:p w14:paraId="48228D1C" w14:textId="77777777" w:rsidR="006B7175" w:rsidRPr="00BF57E1" w:rsidRDefault="006B7175" w:rsidP="00EC0139">
            <w:r w:rsidRPr="00BF57E1">
              <w:t xml:space="preserve">Onderwijsprogramma </w:t>
            </w:r>
            <w:r>
              <w:t>‘luisteren</w:t>
            </w:r>
          </w:p>
          <w:p w14:paraId="708C50B2" w14:textId="77777777" w:rsidR="006B7175" w:rsidRDefault="006B7175" w:rsidP="00EC0139">
            <w:r w:rsidRPr="00BF57E1">
              <w:t xml:space="preserve">Het onderwijs vormt zich om de </w:t>
            </w:r>
            <w:proofErr w:type="spellStart"/>
            <w:r w:rsidRPr="00BF57E1">
              <w:t>powerpoint</w:t>
            </w:r>
            <w:proofErr w:type="spellEnd"/>
            <w:r w:rsidRPr="00BF57E1">
              <w:t>-presentatie ‘</w:t>
            </w:r>
            <w:r>
              <w:t>luisteren</w:t>
            </w:r>
            <w:r w:rsidRPr="00BF57E1">
              <w:t xml:space="preserve">’. Didactische aanwijzingen, literatuurverwijzingen en tips voor het onderwijs staan in de notitievelden onder </w:t>
            </w:r>
            <w:r>
              <w:t>de slides</w:t>
            </w:r>
            <w:r w:rsidRPr="00BF57E1">
              <w:t>.</w:t>
            </w:r>
          </w:p>
        </w:tc>
      </w:tr>
      <w:tr w:rsidR="006B7175" w:rsidRPr="00BF57E1" w14:paraId="61D98998" w14:textId="77777777" w:rsidTr="00EC0139">
        <w:trPr>
          <w:trHeight w:val="55"/>
        </w:trPr>
        <w:tc>
          <w:tcPr>
            <w:tcW w:w="932" w:type="dxa"/>
            <w:shd w:val="clear" w:color="auto" w:fill="9CC2E5" w:themeFill="accent5" w:themeFillTint="99"/>
          </w:tcPr>
          <w:p w14:paraId="020F7A54" w14:textId="77777777" w:rsidR="006B7175" w:rsidRPr="007D50AA" w:rsidRDefault="006B7175" w:rsidP="00EC0139">
            <w:r w:rsidRPr="007D50AA">
              <w:t>Minuten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26D48C09" w14:textId="77777777" w:rsidR="006B7175" w:rsidRPr="007D50AA" w:rsidRDefault="006B7175" w:rsidP="00EC0139">
            <w:r w:rsidRPr="007D50AA">
              <w:t>Slides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430CEC7F" w14:textId="77777777" w:rsidR="006B7175" w:rsidRPr="007D50AA" w:rsidRDefault="006B7175" w:rsidP="00EC0139">
            <w:r w:rsidRPr="007D50AA">
              <w:t>Toelichting</w:t>
            </w:r>
          </w:p>
        </w:tc>
      </w:tr>
      <w:tr w:rsidR="006B7175" w:rsidRPr="00BF57E1" w14:paraId="32EBE94E" w14:textId="77777777" w:rsidTr="00EC0139">
        <w:trPr>
          <w:trHeight w:val="55"/>
        </w:trPr>
        <w:tc>
          <w:tcPr>
            <w:tcW w:w="932" w:type="dxa"/>
            <w:shd w:val="clear" w:color="auto" w:fill="9CC2E5" w:themeFill="accent5" w:themeFillTint="99"/>
          </w:tcPr>
          <w:p w14:paraId="718074AB" w14:textId="77777777" w:rsidR="006B7175" w:rsidRPr="00BF57E1" w:rsidRDefault="006B7175" w:rsidP="00EC0139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6808A5E7" w14:textId="77777777" w:rsidR="006B7175" w:rsidRPr="00BF57E1" w:rsidRDefault="006B7175" w:rsidP="00EC0139">
            <w:r>
              <w:t>1</w:t>
            </w:r>
            <w:r w:rsidR="00047055">
              <w:t>-2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2ED16A68" w14:textId="77777777" w:rsidR="006B7175" w:rsidRPr="00BF57E1" w:rsidRDefault="006B7175" w:rsidP="00EC0139">
            <w:r w:rsidRPr="00C87EE9">
              <w:t>Groeps</w:t>
            </w:r>
            <w:r>
              <w:t>inventarisatie</w:t>
            </w:r>
            <w:r w:rsidRPr="00C87EE9">
              <w:t xml:space="preserve">. </w:t>
            </w:r>
            <w:r>
              <w:t>Bespreken programma</w:t>
            </w:r>
          </w:p>
        </w:tc>
      </w:tr>
      <w:tr w:rsidR="006B7175" w:rsidRPr="00BF57E1" w14:paraId="7BF66696" w14:textId="77777777" w:rsidTr="00EC0139">
        <w:trPr>
          <w:trHeight w:val="284"/>
        </w:trPr>
        <w:tc>
          <w:tcPr>
            <w:tcW w:w="932" w:type="dxa"/>
            <w:shd w:val="clear" w:color="auto" w:fill="9CC2E5" w:themeFill="accent5" w:themeFillTint="99"/>
          </w:tcPr>
          <w:p w14:paraId="1F6220CB" w14:textId="77777777" w:rsidR="006B7175" w:rsidRPr="00BF57E1" w:rsidRDefault="006B7175" w:rsidP="00EC0139">
            <w:r>
              <w:t>30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1290BBDA" w14:textId="77777777" w:rsidR="006B7175" w:rsidRPr="00BF57E1" w:rsidRDefault="006B7175" w:rsidP="00EC0139">
            <w:r>
              <w:t>3-4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55836533" w14:textId="77777777" w:rsidR="006B7175" w:rsidRDefault="006B7175" w:rsidP="00EC0139">
            <w:r>
              <w:t>Uitwerking huiswerkopdracht, luisteroefening in 2 tallen</w:t>
            </w:r>
            <w:r w:rsidR="00047055">
              <w:t>.</w:t>
            </w:r>
          </w:p>
          <w:p w14:paraId="2CCE288D" w14:textId="77777777" w:rsidR="00047055" w:rsidRPr="00BF57E1" w:rsidRDefault="00047055" w:rsidP="00EC0139">
            <w:r>
              <w:t>Bespreken opbrengst en inventariseren wat er allemaal komt kijken bij luisteren</w:t>
            </w:r>
          </w:p>
        </w:tc>
      </w:tr>
      <w:tr w:rsidR="006B7175" w:rsidRPr="00BF57E1" w14:paraId="731DE252" w14:textId="77777777" w:rsidTr="00EC0139">
        <w:trPr>
          <w:trHeight w:val="255"/>
        </w:trPr>
        <w:tc>
          <w:tcPr>
            <w:tcW w:w="932" w:type="dxa"/>
            <w:shd w:val="clear" w:color="auto" w:fill="9CC2E5" w:themeFill="accent5" w:themeFillTint="99"/>
          </w:tcPr>
          <w:p w14:paraId="36CA7FA1" w14:textId="77777777" w:rsidR="006B7175" w:rsidRPr="00BF57E1" w:rsidRDefault="006B7175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118F1623" w14:textId="77777777" w:rsidR="006B7175" w:rsidRPr="00BF57E1" w:rsidRDefault="00047055" w:rsidP="00EC0139">
            <w:r>
              <w:t>5-6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3950FD9A" w14:textId="77777777" w:rsidR="006B7175" w:rsidRPr="00BF57E1" w:rsidRDefault="00047055" w:rsidP="00EC0139">
            <w:r>
              <w:t>Luisteren in het consult</w:t>
            </w:r>
            <w:r w:rsidR="00E1162B">
              <w:t xml:space="preserve">, </w:t>
            </w:r>
            <w:r>
              <w:t>benoemen</w:t>
            </w:r>
            <w:r w:rsidR="00ED6783">
              <w:t xml:space="preserve"> wat lastig is daarbij</w:t>
            </w:r>
            <w:r>
              <w:t xml:space="preserve"> en </w:t>
            </w:r>
            <w:r w:rsidR="00B555FF">
              <w:t xml:space="preserve">een </w:t>
            </w:r>
            <w:r>
              <w:t xml:space="preserve">‘remedie’ </w:t>
            </w:r>
            <w:r w:rsidR="00B555FF">
              <w:t xml:space="preserve">daarvoor </w:t>
            </w:r>
            <w:r>
              <w:t>bedenken.</w:t>
            </w:r>
          </w:p>
        </w:tc>
      </w:tr>
      <w:tr w:rsidR="006B7175" w:rsidRPr="00BF57E1" w14:paraId="2F7D169F" w14:textId="77777777" w:rsidTr="00EC0139">
        <w:trPr>
          <w:trHeight w:val="266"/>
        </w:trPr>
        <w:tc>
          <w:tcPr>
            <w:tcW w:w="932" w:type="dxa"/>
            <w:shd w:val="clear" w:color="auto" w:fill="9CC2E5" w:themeFill="accent5" w:themeFillTint="99"/>
          </w:tcPr>
          <w:p w14:paraId="5C805AC6" w14:textId="77777777" w:rsidR="006B7175" w:rsidRPr="00BF57E1" w:rsidRDefault="006B7175" w:rsidP="00EC0139">
            <w:r w:rsidRPr="00BF57E1">
              <w:t xml:space="preserve"> </w:t>
            </w:r>
            <w:r>
              <w:t>1</w:t>
            </w:r>
            <w:r w:rsidR="00047055">
              <w:t>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432748DA" w14:textId="77777777" w:rsidR="006B7175" w:rsidRPr="00BF57E1" w:rsidRDefault="00047055" w:rsidP="00EC0139">
            <w:r>
              <w:t>7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5522B4C0" w14:textId="77777777" w:rsidR="006B7175" w:rsidRPr="00BF57E1" w:rsidRDefault="00047055" w:rsidP="00EC0139">
            <w:r>
              <w:t>Praktische luistervaardigheden (Silverman) benoemen</w:t>
            </w:r>
            <w:r w:rsidR="00ED6783">
              <w:t>.</w:t>
            </w:r>
          </w:p>
        </w:tc>
      </w:tr>
      <w:tr w:rsidR="006B7175" w:rsidRPr="00BF57E1" w14:paraId="2BCE8DA6" w14:textId="77777777" w:rsidTr="00EC0139">
        <w:trPr>
          <w:trHeight w:val="93"/>
        </w:trPr>
        <w:tc>
          <w:tcPr>
            <w:tcW w:w="932" w:type="dxa"/>
            <w:shd w:val="clear" w:color="auto" w:fill="9CC2E5" w:themeFill="accent5" w:themeFillTint="99"/>
          </w:tcPr>
          <w:p w14:paraId="6CD9A8AD" w14:textId="77777777" w:rsidR="006B7175" w:rsidRPr="00BF57E1" w:rsidRDefault="006B7175" w:rsidP="00EC0139">
            <w:r w:rsidRPr="00BF57E1">
              <w:t xml:space="preserve"> </w:t>
            </w:r>
            <w:r>
              <w:t>1</w:t>
            </w:r>
            <w:r w:rsidR="00047055">
              <w:t>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7528E9A8" w14:textId="77777777" w:rsidR="006B7175" w:rsidRPr="00BF57E1" w:rsidRDefault="00047055" w:rsidP="00EC0139">
            <w:r>
              <w:t>8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3D98D921" w14:textId="77777777" w:rsidR="006B7175" w:rsidRPr="00BF57E1" w:rsidRDefault="00047055" w:rsidP="00EC0139">
            <w:r>
              <w:t xml:space="preserve">Korte </w:t>
            </w:r>
            <w:proofErr w:type="spellStart"/>
            <w:r w:rsidR="00AB58A4">
              <w:t>aandachts</w:t>
            </w:r>
            <w:proofErr w:type="spellEnd"/>
            <w:r>
              <w:t xml:space="preserve"> oefening</w:t>
            </w:r>
            <w:r w:rsidR="008963F9">
              <w:t xml:space="preserve"> als voorbereiding op </w:t>
            </w:r>
            <w:r w:rsidR="00AB58A4">
              <w:t>het volgende onderdeel</w:t>
            </w:r>
            <w:r w:rsidR="008963F9">
              <w:t>.</w:t>
            </w:r>
            <w:r>
              <w:t xml:space="preserve"> </w:t>
            </w:r>
          </w:p>
        </w:tc>
      </w:tr>
      <w:tr w:rsidR="006B7175" w:rsidRPr="00BF57E1" w14:paraId="4A638950" w14:textId="77777777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14:paraId="2E1CD7CC" w14:textId="77777777" w:rsidR="006B7175" w:rsidRPr="00BF57E1" w:rsidRDefault="00047055" w:rsidP="00EC0139">
            <w:r>
              <w:t>20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238F7352" w14:textId="77777777" w:rsidR="006B7175" w:rsidRPr="00BF57E1" w:rsidRDefault="00047055" w:rsidP="00EC0139">
            <w:r>
              <w:t>9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5147CBD5" w14:textId="77777777" w:rsidR="006B7175" w:rsidRPr="00BF57E1" w:rsidRDefault="00047055" w:rsidP="00EC0139">
            <w:r>
              <w:t>Oefening ‘aandachtig luisteren’: luisteraar houdt contact met de ander en ook met zichzelf. Docent begeleidt dit proces met simpele instructies.</w:t>
            </w:r>
          </w:p>
        </w:tc>
      </w:tr>
      <w:tr w:rsidR="00047055" w:rsidRPr="00BF57E1" w14:paraId="0B7EFD83" w14:textId="77777777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14:paraId="6797A138" w14:textId="77777777" w:rsidR="00047055" w:rsidRDefault="00047055" w:rsidP="00047055">
            <w:r>
              <w:t>10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3F10D568" w14:textId="77777777" w:rsidR="00047055" w:rsidRDefault="00047055" w:rsidP="00047055">
            <w:r>
              <w:t>10-11</w:t>
            </w:r>
          </w:p>
        </w:tc>
        <w:tc>
          <w:tcPr>
            <w:tcW w:w="7585" w:type="dxa"/>
            <w:shd w:val="clear" w:color="auto" w:fill="DEEAF6" w:themeFill="accent5" w:themeFillTint="33"/>
          </w:tcPr>
          <w:p w14:paraId="03D7DE7C" w14:textId="77777777" w:rsidR="00047055" w:rsidRPr="00BF57E1" w:rsidRDefault="00047055" w:rsidP="00047055">
            <w:r w:rsidRPr="00BF57E1">
              <w:t>Afsluitende opdracht: ontwikkelpunten (</w:t>
            </w:r>
            <w:proofErr w:type="spellStart"/>
            <w:r w:rsidRPr="00BF57E1">
              <w:t>aDART</w:t>
            </w:r>
            <w:proofErr w:type="spellEnd"/>
            <w:r w:rsidRPr="00BF57E1">
              <w:t>) formuleren</w:t>
            </w:r>
            <w:r>
              <w:t xml:space="preserve"> evt.</w:t>
            </w:r>
            <w:r w:rsidRPr="00BF57E1">
              <w:t xml:space="preserve"> in tweetallen</w:t>
            </w:r>
            <w:r>
              <w:t>.</w:t>
            </w:r>
          </w:p>
        </w:tc>
      </w:tr>
      <w:tr w:rsidR="00047055" w:rsidRPr="00BF57E1" w14:paraId="665535E5" w14:textId="77777777" w:rsidTr="00EC0139">
        <w:trPr>
          <w:trHeight w:val="84"/>
        </w:trPr>
        <w:tc>
          <w:tcPr>
            <w:tcW w:w="932" w:type="dxa"/>
            <w:shd w:val="clear" w:color="auto" w:fill="9CC2E5" w:themeFill="accent5" w:themeFillTint="99"/>
          </w:tcPr>
          <w:p w14:paraId="21D0427D" w14:textId="77777777" w:rsidR="00047055" w:rsidRDefault="00047055" w:rsidP="00047055"/>
        </w:tc>
        <w:tc>
          <w:tcPr>
            <w:tcW w:w="697" w:type="dxa"/>
            <w:shd w:val="clear" w:color="auto" w:fill="DEEAF6" w:themeFill="accent5" w:themeFillTint="33"/>
          </w:tcPr>
          <w:p w14:paraId="4D937C38" w14:textId="77777777" w:rsidR="00047055" w:rsidRDefault="00047055" w:rsidP="00047055"/>
        </w:tc>
        <w:tc>
          <w:tcPr>
            <w:tcW w:w="7585" w:type="dxa"/>
            <w:shd w:val="clear" w:color="auto" w:fill="DEEAF6" w:themeFill="accent5" w:themeFillTint="33"/>
          </w:tcPr>
          <w:p w14:paraId="2E113CC6" w14:textId="77777777" w:rsidR="00047055" w:rsidRPr="00BF57E1" w:rsidRDefault="00047055" w:rsidP="00047055"/>
        </w:tc>
      </w:tr>
      <w:tr w:rsidR="00047055" w:rsidRPr="00BF57E1" w14:paraId="14F88515" w14:textId="77777777" w:rsidTr="00EC0139">
        <w:trPr>
          <w:trHeight w:val="101"/>
        </w:trPr>
        <w:tc>
          <w:tcPr>
            <w:tcW w:w="9214" w:type="dxa"/>
            <w:gridSpan w:val="3"/>
            <w:shd w:val="clear" w:color="auto" w:fill="E2EFD9" w:themeFill="accent6" w:themeFillTint="33"/>
          </w:tcPr>
          <w:p w14:paraId="6E017458" w14:textId="77777777" w:rsidR="00047055" w:rsidRDefault="00047055" w:rsidP="00047055">
            <w:r w:rsidRPr="00BF57E1">
              <w:t xml:space="preserve">Totale duur onderwijsprogramma: </w:t>
            </w:r>
            <w:r>
              <w:t xml:space="preserve">110 </w:t>
            </w:r>
            <w:r w:rsidRPr="00BF57E1">
              <w:t>minuten</w:t>
            </w:r>
          </w:p>
          <w:p w14:paraId="48D95239" w14:textId="77777777" w:rsidR="00D61B4B" w:rsidRDefault="00D61B4B" w:rsidP="00047055"/>
          <w:p w14:paraId="54343118" w14:textId="77777777" w:rsidR="00D61B4B" w:rsidRDefault="00D61B4B" w:rsidP="00047055">
            <w:r>
              <w:t>Het is mogelijk om het programma in 2’en te delen. De eerste drie blokjes (t/m ‘luisteren in het consult’) horen vooral bij ‘attitude ontwikkeling’.</w:t>
            </w:r>
          </w:p>
          <w:p w14:paraId="714C3E22" w14:textId="77777777" w:rsidR="00D61B4B" w:rsidRPr="00BF57E1" w:rsidRDefault="00D61B4B" w:rsidP="00047055">
            <w:r>
              <w:t xml:space="preserve">De laatste vier blokjes (vanaf ‘praktische luistervaardigheden’) werken vooral </w:t>
            </w:r>
            <w:r w:rsidR="00C97708">
              <w:t>aa</w:t>
            </w:r>
            <w:r>
              <w:t>n de ontwikkeling van ‘luistervaardigheden’</w:t>
            </w:r>
          </w:p>
        </w:tc>
      </w:tr>
    </w:tbl>
    <w:p w14:paraId="1D162B4E" w14:textId="77777777" w:rsidR="004F5B22" w:rsidRDefault="004F5B22"/>
    <w:p w14:paraId="76881D69" w14:textId="77777777" w:rsidR="00977709" w:rsidRPr="00977709" w:rsidRDefault="00977709"/>
    <w:sectPr w:rsidR="00977709" w:rsidRPr="00977709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27C"/>
    <w:multiLevelType w:val="hybridMultilevel"/>
    <w:tmpl w:val="A7DAFDA6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0E78"/>
    <w:multiLevelType w:val="hybridMultilevel"/>
    <w:tmpl w:val="7B306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3CB1"/>
    <w:multiLevelType w:val="hybridMultilevel"/>
    <w:tmpl w:val="3D1A9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01E1A"/>
    <w:multiLevelType w:val="hybridMultilevel"/>
    <w:tmpl w:val="F8ACAB6C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84BF2"/>
    <w:multiLevelType w:val="hybridMultilevel"/>
    <w:tmpl w:val="8BEC4E8A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A2055"/>
    <w:multiLevelType w:val="hybridMultilevel"/>
    <w:tmpl w:val="15943320"/>
    <w:lvl w:ilvl="0" w:tplc="583C8292">
      <w:numFmt w:val="bullet"/>
      <w:lvlText w:val="-"/>
      <w:lvlJc w:val="left"/>
      <w:pPr>
        <w:ind w:left="720" w:hanging="360"/>
      </w:pPr>
      <w:rPr>
        <w:rFonts w:ascii="Geneva" w:eastAsiaTheme="minorEastAsia" w:hAnsi="Genev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B5B14"/>
    <w:multiLevelType w:val="hybridMultilevel"/>
    <w:tmpl w:val="BADAF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75"/>
    <w:rsid w:val="00012A52"/>
    <w:rsid w:val="00047055"/>
    <w:rsid w:val="001F047E"/>
    <w:rsid w:val="00444FE8"/>
    <w:rsid w:val="00471CD6"/>
    <w:rsid w:val="004A47BF"/>
    <w:rsid w:val="004F5B22"/>
    <w:rsid w:val="00625AE5"/>
    <w:rsid w:val="006B7175"/>
    <w:rsid w:val="006C2184"/>
    <w:rsid w:val="007C69F8"/>
    <w:rsid w:val="008963F9"/>
    <w:rsid w:val="00977709"/>
    <w:rsid w:val="009C7962"/>
    <w:rsid w:val="00A91661"/>
    <w:rsid w:val="00AB58A4"/>
    <w:rsid w:val="00AE6417"/>
    <w:rsid w:val="00B555FF"/>
    <w:rsid w:val="00B60C40"/>
    <w:rsid w:val="00BA79F5"/>
    <w:rsid w:val="00C97708"/>
    <w:rsid w:val="00D61B4B"/>
    <w:rsid w:val="00E1162B"/>
    <w:rsid w:val="00E82492"/>
    <w:rsid w:val="00E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872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75"/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B7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1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B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75"/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1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B7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1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508</Words>
  <Characters>2897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Laurie Hageman</cp:lastModifiedBy>
  <cp:revision>19</cp:revision>
  <dcterms:created xsi:type="dcterms:W3CDTF">2020-02-03T14:24:00Z</dcterms:created>
  <dcterms:modified xsi:type="dcterms:W3CDTF">2022-06-12T12:32:00Z</dcterms:modified>
</cp:coreProperties>
</file>