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CA35" w14:textId="157CB73A" w:rsidR="000763AF" w:rsidRDefault="00FE74E0" w:rsidP="006A5563">
      <w:pPr>
        <w:shd w:val="clear" w:color="auto" w:fill="FFFFFF"/>
        <w:spacing w:before="100" w:beforeAutospacing="1" w:after="100" w:afterAutospacing="1" w:line="240" w:lineRule="auto"/>
        <w:ind w:left="24"/>
        <w:jc w:val="left"/>
        <w:rPr>
          <w:b/>
          <w:sz w:val="28"/>
          <w:szCs w:val="28"/>
        </w:rPr>
      </w:pPr>
      <w:r w:rsidRPr="00F36E97">
        <w:rPr>
          <w:b/>
          <w:sz w:val="28"/>
          <w:szCs w:val="28"/>
        </w:rPr>
        <w:t xml:space="preserve">Casus </w:t>
      </w:r>
      <w:r w:rsidR="000763A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</w:t>
      </w:r>
      <w:r w:rsidR="000763AF">
        <w:rPr>
          <w:b/>
          <w:sz w:val="28"/>
          <w:szCs w:val="28"/>
        </w:rPr>
        <w:t xml:space="preserve"> CVRM </w:t>
      </w:r>
      <w:r w:rsidR="000763AF" w:rsidRPr="000763AF">
        <w:rPr>
          <w:b/>
          <w:sz w:val="28"/>
          <w:szCs w:val="28"/>
        </w:rPr>
        <w:t>en ouderen (70+)</w:t>
      </w:r>
    </w:p>
    <w:p w14:paraId="13A6142A" w14:textId="6C8DF4AC" w:rsidR="00782A93" w:rsidRDefault="00633FF0" w:rsidP="00F66D43">
      <w:pPr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De heer Jansen</w:t>
      </w:r>
      <w:r w:rsidR="00FE74E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271BC">
        <w:rPr>
          <w:sz w:val="24"/>
          <w:szCs w:val="24"/>
        </w:rPr>
        <w:t xml:space="preserve">72 </w:t>
      </w:r>
      <w:r w:rsidR="00782A93">
        <w:rPr>
          <w:sz w:val="24"/>
          <w:szCs w:val="24"/>
        </w:rPr>
        <w:t>jaar</w:t>
      </w:r>
      <w:r>
        <w:rPr>
          <w:sz w:val="24"/>
          <w:szCs w:val="24"/>
        </w:rPr>
        <w:t xml:space="preserve">, </w:t>
      </w:r>
      <w:r w:rsidR="001271BC">
        <w:rPr>
          <w:sz w:val="24"/>
          <w:szCs w:val="24"/>
        </w:rPr>
        <w:t xml:space="preserve">is </w:t>
      </w:r>
      <w:r>
        <w:rPr>
          <w:sz w:val="24"/>
          <w:szCs w:val="24"/>
        </w:rPr>
        <w:t>sinds</w:t>
      </w:r>
      <w:r w:rsidR="001271BC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jaar gestopt met werken</w:t>
      </w:r>
      <w:r w:rsidR="001271BC">
        <w:rPr>
          <w:sz w:val="24"/>
          <w:szCs w:val="24"/>
        </w:rPr>
        <w:t xml:space="preserve">, is </w:t>
      </w:r>
      <w:r>
        <w:rPr>
          <w:sz w:val="24"/>
          <w:szCs w:val="24"/>
        </w:rPr>
        <w:t>actief in vrijwilligerswerk</w:t>
      </w:r>
      <w:r w:rsidR="001271BC">
        <w:rPr>
          <w:sz w:val="24"/>
          <w:szCs w:val="24"/>
        </w:rPr>
        <w:t xml:space="preserve"> m.n. het opknappen van tuintjes.</w:t>
      </w:r>
    </w:p>
    <w:p w14:paraId="65604AAD" w14:textId="63A94B6A" w:rsidR="00782A93" w:rsidRDefault="00782A93" w:rsidP="00F66D43">
      <w:pPr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Voorgeschiedenis: </w:t>
      </w:r>
      <w:r w:rsidR="00633FF0">
        <w:rPr>
          <w:sz w:val="24"/>
          <w:szCs w:val="24"/>
        </w:rPr>
        <w:t>hypertensie</w:t>
      </w:r>
    </w:p>
    <w:p w14:paraId="7A9B8122" w14:textId="0D18FC2C" w:rsidR="00782A93" w:rsidRDefault="00782A93" w:rsidP="00F66D43">
      <w:pPr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Medicatie:</w:t>
      </w:r>
      <w:r w:rsidR="00F66D43">
        <w:rPr>
          <w:sz w:val="24"/>
          <w:szCs w:val="24"/>
        </w:rPr>
        <w:t xml:space="preserve"> </w:t>
      </w:r>
      <w:r w:rsidR="00633FF0">
        <w:rPr>
          <w:sz w:val="24"/>
          <w:szCs w:val="24"/>
        </w:rPr>
        <w:t>Enalapril 10 mg 1dd</w:t>
      </w:r>
    </w:p>
    <w:p w14:paraId="6DEB44C0" w14:textId="3E0C5284" w:rsidR="00782A93" w:rsidRDefault="00633FF0" w:rsidP="00F66D43">
      <w:p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De heer</w:t>
      </w:r>
      <w:r w:rsidR="00782A93">
        <w:rPr>
          <w:sz w:val="24"/>
          <w:szCs w:val="24"/>
        </w:rPr>
        <w:t xml:space="preserve"> komt voor de jaarlijkse </w:t>
      </w:r>
      <w:r>
        <w:rPr>
          <w:sz w:val="24"/>
          <w:szCs w:val="24"/>
        </w:rPr>
        <w:t>controle CVRM en geeft aan</w:t>
      </w:r>
      <w:r w:rsidR="001271BC">
        <w:rPr>
          <w:sz w:val="24"/>
          <w:szCs w:val="24"/>
        </w:rPr>
        <w:t xml:space="preserve"> sinds 2 maanden</w:t>
      </w:r>
      <w:r>
        <w:rPr>
          <w:sz w:val="24"/>
          <w:szCs w:val="24"/>
        </w:rPr>
        <w:t xml:space="preserve"> pijn in</w:t>
      </w:r>
      <w:r w:rsidR="001271BC">
        <w:rPr>
          <w:sz w:val="24"/>
          <w:szCs w:val="24"/>
        </w:rPr>
        <w:t xml:space="preserve"> zijn rechterbeen</w:t>
      </w:r>
      <w:r>
        <w:rPr>
          <w:sz w:val="24"/>
          <w:szCs w:val="24"/>
        </w:rPr>
        <w:t xml:space="preserve"> te hebben tijdens het </w:t>
      </w:r>
      <w:r w:rsidR="001271BC">
        <w:rPr>
          <w:sz w:val="24"/>
          <w:szCs w:val="24"/>
        </w:rPr>
        <w:t xml:space="preserve">wandelen. Ook voelt zijn rechtervoet kouder dan zijn linkervoet. Bij doorvragen vertelt de heer dat wanneer de pijn optreedt deze wegtrekt als hij even stilstaat. </w:t>
      </w:r>
      <w:r w:rsidR="00467E79">
        <w:rPr>
          <w:sz w:val="24"/>
          <w:szCs w:val="24"/>
        </w:rPr>
        <w:t>De heer heeft geen rustpijn en/of nachtelijke pijn aan de voeten</w:t>
      </w:r>
      <w:r w:rsidR="00BE2DBA">
        <w:rPr>
          <w:sz w:val="24"/>
          <w:szCs w:val="24"/>
        </w:rPr>
        <w:t>,</w:t>
      </w:r>
      <w:r w:rsidR="00467E79">
        <w:rPr>
          <w:sz w:val="24"/>
          <w:szCs w:val="24"/>
        </w:rPr>
        <w:t xml:space="preserve"> geen wondjes, geen bleekheid.</w:t>
      </w:r>
    </w:p>
    <w:p w14:paraId="75B96319" w14:textId="53E74879" w:rsidR="00782A93" w:rsidRDefault="00782A93" w:rsidP="00F66D43">
      <w:pPr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Je brengt de risicofactoren in beeld.</w:t>
      </w:r>
    </w:p>
    <w:p w14:paraId="641B9EE8" w14:textId="5C42DA2D" w:rsidR="00782A93" w:rsidRDefault="000763AF" w:rsidP="00782A93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677FE2BC" wp14:editId="3EADA983">
            <wp:simplePos x="0" y="0"/>
            <wp:positionH relativeFrom="column">
              <wp:posOffset>3176905</wp:posOffset>
            </wp:positionH>
            <wp:positionV relativeFrom="paragraph">
              <wp:posOffset>197485</wp:posOffset>
            </wp:positionV>
            <wp:extent cx="303784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401" y="21330"/>
                <wp:lineTo x="2140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A93">
        <w:rPr>
          <w:sz w:val="24"/>
          <w:szCs w:val="24"/>
        </w:rPr>
        <w:t xml:space="preserve">BMI </w:t>
      </w:r>
      <w:r w:rsidR="00633FF0">
        <w:rPr>
          <w:sz w:val="24"/>
          <w:szCs w:val="24"/>
        </w:rPr>
        <w:t>26</w:t>
      </w:r>
    </w:p>
    <w:p w14:paraId="12AC089E" w14:textId="305DCA9E" w:rsidR="00782A93" w:rsidRDefault="00782A93" w:rsidP="00782A93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RR: 1</w:t>
      </w:r>
      <w:r w:rsidR="00633FF0">
        <w:rPr>
          <w:sz w:val="24"/>
          <w:szCs w:val="24"/>
        </w:rPr>
        <w:t>21/75</w:t>
      </w:r>
    </w:p>
    <w:p w14:paraId="6CD3632C" w14:textId="420AA7A7" w:rsidR="00782A93" w:rsidRDefault="00FE74E0" w:rsidP="00782A93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i</w:t>
      </w:r>
      <w:r w:rsidR="00782A93">
        <w:rPr>
          <w:sz w:val="24"/>
          <w:szCs w:val="24"/>
        </w:rPr>
        <w:t>n de familie geen hart</w:t>
      </w:r>
      <w:r>
        <w:rPr>
          <w:sz w:val="24"/>
          <w:szCs w:val="24"/>
        </w:rPr>
        <w:t>-</w:t>
      </w:r>
      <w:r w:rsidR="00782A93">
        <w:rPr>
          <w:sz w:val="24"/>
          <w:szCs w:val="24"/>
        </w:rPr>
        <w:t xml:space="preserve"> en vaatziekten</w:t>
      </w:r>
    </w:p>
    <w:p w14:paraId="04907DA8" w14:textId="13D08854" w:rsidR="00782A93" w:rsidRDefault="00FE74E0" w:rsidP="00782A93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b</w:t>
      </w:r>
      <w:r w:rsidR="00782A93">
        <w:rPr>
          <w:sz w:val="24"/>
          <w:szCs w:val="24"/>
        </w:rPr>
        <w:t>eweegt volgens de norm</w:t>
      </w:r>
    </w:p>
    <w:p w14:paraId="6EFFA73D" w14:textId="1422BD9A" w:rsidR="00633FF0" w:rsidRDefault="00FE74E0" w:rsidP="00782A93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646B58">
        <w:rPr>
          <w:sz w:val="24"/>
          <w:szCs w:val="24"/>
        </w:rPr>
        <w:t>rinkt 1 eh alcohol per dag</w:t>
      </w:r>
    </w:p>
    <w:p w14:paraId="1D817F05" w14:textId="50A7E994" w:rsidR="00782A93" w:rsidRDefault="00FE74E0" w:rsidP="00782A93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 w:rsidR="00633FF0">
        <w:rPr>
          <w:sz w:val="24"/>
          <w:szCs w:val="24"/>
        </w:rPr>
        <w:t>oorheen gerookt</w:t>
      </w:r>
      <w:r w:rsidR="001271BC">
        <w:rPr>
          <w:sz w:val="24"/>
          <w:szCs w:val="24"/>
        </w:rPr>
        <w:t>, 15 pakjaren</w:t>
      </w:r>
    </w:p>
    <w:p w14:paraId="0BF2A1FC" w14:textId="4D7D3410" w:rsidR="00782A93" w:rsidRDefault="00FE74E0" w:rsidP="00782A93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e</w:t>
      </w:r>
      <w:r w:rsidR="00782A93">
        <w:rPr>
          <w:sz w:val="24"/>
          <w:szCs w:val="24"/>
        </w:rPr>
        <w:t>et gezond</w:t>
      </w:r>
    </w:p>
    <w:p w14:paraId="78BB8D76" w14:textId="074CB851" w:rsidR="00646B58" w:rsidRDefault="00FE74E0" w:rsidP="00527998">
      <w:pPr>
        <w:pStyle w:val="Lijstalinea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l</w:t>
      </w:r>
      <w:r w:rsidR="00782A93" w:rsidRPr="00646B58">
        <w:rPr>
          <w:sz w:val="24"/>
          <w:szCs w:val="24"/>
        </w:rPr>
        <w:t>et op het zoutgebruik</w:t>
      </w:r>
    </w:p>
    <w:p w14:paraId="1C1F73B5" w14:textId="6E888B16" w:rsidR="00782A93" w:rsidRPr="00FE74E0" w:rsidRDefault="00782A93" w:rsidP="00FE74E0">
      <w:pPr>
        <w:jc w:val="left"/>
        <w:rPr>
          <w:sz w:val="24"/>
          <w:szCs w:val="24"/>
        </w:rPr>
      </w:pPr>
      <w:r w:rsidRPr="00FE74E0">
        <w:rPr>
          <w:sz w:val="24"/>
          <w:szCs w:val="24"/>
        </w:rPr>
        <w:t>Laboratoriumuitslag</w:t>
      </w:r>
      <w:r w:rsidR="00FE74E0" w:rsidRPr="00FE74E0">
        <w:rPr>
          <w:sz w:val="24"/>
          <w:szCs w:val="24"/>
        </w:rPr>
        <w:t>:</w:t>
      </w:r>
    </w:p>
    <w:p w14:paraId="7DA6A2C5" w14:textId="760E88F0" w:rsidR="00782A93" w:rsidRDefault="00782A93" w:rsidP="00782A93">
      <w:pPr>
        <w:pStyle w:val="Lijstalinea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Glucose nuchter 5.</w:t>
      </w:r>
      <w:r w:rsidR="00646B58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mmol</w:t>
      </w:r>
      <w:proofErr w:type="spellEnd"/>
      <w:r>
        <w:rPr>
          <w:sz w:val="24"/>
          <w:szCs w:val="24"/>
        </w:rPr>
        <w:t>/L</w:t>
      </w:r>
    </w:p>
    <w:p w14:paraId="7CBF4C5C" w14:textId="18F9A6A6" w:rsidR="00782A93" w:rsidRDefault="00782A93" w:rsidP="00782A93">
      <w:pPr>
        <w:pStyle w:val="Lijstalinea"/>
        <w:numPr>
          <w:ilvl w:val="0"/>
          <w:numId w:val="2"/>
        </w:numPr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eGFR</w:t>
      </w:r>
      <w:proofErr w:type="spellEnd"/>
      <w:r>
        <w:rPr>
          <w:sz w:val="24"/>
          <w:szCs w:val="24"/>
        </w:rPr>
        <w:t xml:space="preserve"> </w:t>
      </w:r>
      <w:r w:rsidR="00270544">
        <w:rPr>
          <w:sz w:val="24"/>
          <w:szCs w:val="24"/>
        </w:rPr>
        <w:t>64</w:t>
      </w:r>
      <w:r>
        <w:rPr>
          <w:sz w:val="24"/>
          <w:szCs w:val="24"/>
        </w:rPr>
        <w:t xml:space="preserve"> ml/min ACR &lt; 3.0 g/mol</w:t>
      </w:r>
    </w:p>
    <w:p w14:paraId="4D890DF1" w14:textId="476E5A47" w:rsidR="00782A93" w:rsidRPr="00FE74E0" w:rsidRDefault="00782A93" w:rsidP="00FF149F">
      <w:pPr>
        <w:pStyle w:val="Lijstalinea"/>
        <w:numPr>
          <w:ilvl w:val="0"/>
          <w:numId w:val="2"/>
        </w:numPr>
        <w:jc w:val="left"/>
        <w:rPr>
          <w:sz w:val="24"/>
          <w:szCs w:val="24"/>
        </w:rPr>
      </w:pPr>
      <w:r w:rsidRPr="00FE74E0">
        <w:rPr>
          <w:sz w:val="24"/>
          <w:szCs w:val="24"/>
        </w:rPr>
        <w:t xml:space="preserve">Totaal </w:t>
      </w:r>
      <w:proofErr w:type="spellStart"/>
      <w:r w:rsidRPr="00FE74E0">
        <w:rPr>
          <w:sz w:val="24"/>
          <w:szCs w:val="24"/>
        </w:rPr>
        <w:t>chol</w:t>
      </w:r>
      <w:proofErr w:type="spellEnd"/>
      <w:r w:rsidRPr="00FE74E0">
        <w:rPr>
          <w:sz w:val="24"/>
          <w:szCs w:val="24"/>
        </w:rPr>
        <w:t xml:space="preserve"> </w:t>
      </w:r>
      <w:r w:rsidR="00786537" w:rsidRPr="00FE74E0">
        <w:rPr>
          <w:sz w:val="24"/>
          <w:szCs w:val="24"/>
        </w:rPr>
        <w:t>5.0</w:t>
      </w:r>
      <w:r w:rsidRPr="00FE74E0">
        <w:rPr>
          <w:sz w:val="24"/>
          <w:szCs w:val="24"/>
        </w:rPr>
        <w:t xml:space="preserve"> </w:t>
      </w:r>
      <w:proofErr w:type="spellStart"/>
      <w:r w:rsidRPr="00FE74E0">
        <w:rPr>
          <w:sz w:val="24"/>
          <w:szCs w:val="24"/>
        </w:rPr>
        <w:t>mmol</w:t>
      </w:r>
      <w:proofErr w:type="spellEnd"/>
      <w:r w:rsidRPr="00FE74E0">
        <w:rPr>
          <w:sz w:val="24"/>
          <w:szCs w:val="24"/>
        </w:rPr>
        <w:t xml:space="preserve">/L, LDL </w:t>
      </w:r>
      <w:r w:rsidR="00786537" w:rsidRPr="00FE74E0">
        <w:rPr>
          <w:sz w:val="24"/>
          <w:szCs w:val="24"/>
        </w:rPr>
        <w:t>2.8</w:t>
      </w:r>
      <w:r w:rsidRPr="00FE74E0">
        <w:rPr>
          <w:sz w:val="24"/>
          <w:szCs w:val="24"/>
        </w:rPr>
        <w:t xml:space="preserve"> </w:t>
      </w:r>
      <w:proofErr w:type="spellStart"/>
      <w:r w:rsidRPr="00FE74E0">
        <w:rPr>
          <w:sz w:val="24"/>
          <w:szCs w:val="24"/>
        </w:rPr>
        <w:t>mmol</w:t>
      </w:r>
      <w:proofErr w:type="spellEnd"/>
      <w:r w:rsidRPr="00FE74E0">
        <w:rPr>
          <w:sz w:val="24"/>
          <w:szCs w:val="24"/>
        </w:rPr>
        <w:t xml:space="preserve">/l, HDL </w:t>
      </w:r>
      <w:r w:rsidR="00786537" w:rsidRPr="00FE74E0">
        <w:rPr>
          <w:sz w:val="24"/>
          <w:szCs w:val="24"/>
        </w:rPr>
        <w:t>1.76</w:t>
      </w:r>
      <w:r w:rsidRPr="00FE74E0">
        <w:rPr>
          <w:sz w:val="24"/>
          <w:szCs w:val="24"/>
        </w:rPr>
        <w:t xml:space="preserve"> </w:t>
      </w:r>
      <w:proofErr w:type="spellStart"/>
      <w:r w:rsidRPr="00FE74E0">
        <w:rPr>
          <w:sz w:val="24"/>
          <w:szCs w:val="24"/>
        </w:rPr>
        <w:t>mmol</w:t>
      </w:r>
      <w:proofErr w:type="spellEnd"/>
      <w:r w:rsidRPr="00FE74E0">
        <w:rPr>
          <w:sz w:val="24"/>
          <w:szCs w:val="24"/>
        </w:rPr>
        <w:t xml:space="preserve">/L, TC/HDL ratio </w:t>
      </w:r>
      <w:r w:rsidR="00786537" w:rsidRPr="00FE74E0">
        <w:rPr>
          <w:sz w:val="24"/>
          <w:szCs w:val="24"/>
        </w:rPr>
        <w:t>2.8</w:t>
      </w:r>
      <w:r w:rsidRPr="00FE74E0">
        <w:rPr>
          <w:sz w:val="24"/>
          <w:szCs w:val="24"/>
        </w:rPr>
        <w:t>,</w:t>
      </w:r>
      <w:r w:rsidR="00FE74E0" w:rsidRPr="00FE74E0">
        <w:rPr>
          <w:sz w:val="24"/>
          <w:szCs w:val="24"/>
        </w:rPr>
        <w:t xml:space="preserve"> </w:t>
      </w:r>
      <w:proofErr w:type="spellStart"/>
      <w:r w:rsidRPr="00FE74E0">
        <w:rPr>
          <w:sz w:val="24"/>
          <w:szCs w:val="24"/>
        </w:rPr>
        <w:t>Trigl</w:t>
      </w:r>
      <w:proofErr w:type="spellEnd"/>
      <w:r w:rsidRPr="00FE74E0">
        <w:rPr>
          <w:sz w:val="24"/>
          <w:szCs w:val="24"/>
        </w:rPr>
        <w:t xml:space="preserve"> </w:t>
      </w:r>
      <w:r w:rsidR="00786537" w:rsidRPr="00FE74E0">
        <w:rPr>
          <w:sz w:val="24"/>
          <w:szCs w:val="24"/>
        </w:rPr>
        <w:t>0.94</w:t>
      </w:r>
      <w:r w:rsidRPr="00FE74E0">
        <w:rPr>
          <w:sz w:val="24"/>
          <w:szCs w:val="24"/>
        </w:rPr>
        <w:t xml:space="preserve"> </w:t>
      </w:r>
      <w:proofErr w:type="spellStart"/>
      <w:r w:rsidRPr="00FE74E0">
        <w:rPr>
          <w:sz w:val="24"/>
          <w:szCs w:val="24"/>
        </w:rPr>
        <w:t>mmol</w:t>
      </w:r>
      <w:proofErr w:type="spellEnd"/>
      <w:r w:rsidRPr="00FE74E0">
        <w:rPr>
          <w:sz w:val="24"/>
          <w:szCs w:val="24"/>
        </w:rPr>
        <w:t>/L</w:t>
      </w:r>
    </w:p>
    <w:p w14:paraId="1DE8BDCE" w14:textId="77777777" w:rsidR="00782A93" w:rsidRDefault="00782A93" w:rsidP="00782A93">
      <w:pPr>
        <w:jc w:val="left"/>
        <w:rPr>
          <w:sz w:val="24"/>
          <w:szCs w:val="24"/>
        </w:rPr>
      </w:pPr>
    </w:p>
    <w:p w14:paraId="4598E9D1" w14:textId="7972EF05" w:rsidR="00782A93" w:rsidRDefault="00786537" w:rsidP="000763AF">
      <w:pPr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Er wordt in verband met de pijn in de benen</w:t>
      </w:r>
      <w:r w:rsidR="001271BC">
        <w:rPr>
          <w:sz w:val="24"/>
          <w:szCs w:val="24"/>
        </w:rPr>
        <w:t xml:space="preserve"> een afspraak gemaakt bij de huisarts voor een anamnese en lichamelijk onderzoek</w:t>
      </w:r>
      <w:r w:rsidR="00467E79">
        <w:rPr>
          <w:sz w:val="24"/>
          <w:szCs w:val="24"/>
        </w:rPr>
        <w:t>. De huisarts vraagt op grond van haar bevindingen aan de assistente</w:t>
      </w:r>
      <w:r>
        <w:rPr>
          <w:sz w:val="24"/>
          <w:szCs w:val="24"/>
        </w:rPr>
        <w:t xml:space="preserve"> een EAI</w:t>
      </w:r>
      <w:r w:rsidR="00467E79">
        <w:rPr>
          <w:sz w:val="24"/>
          <w:szCs w:val="24"/>
        </w:rPr>
        <w:t xml:space="preserve"> te doe</w:t>
      </w:r>
      <w:r w:rsidR="00F66D43">
        <w:rPr>
          <w:sz w:val="24"/>
          <w:szCs w:val="24"/>
        </w:rPr>
        <w:t>n</w:t>
      </w:r>
      <w:r w:rsidR="00467E79">
        <w:rPr>
          <w:sz w:val="24"/>
          <w:szCs w:val="24"/>
        </w:rPr>
        <w:t>. De uitslag van de EAI is</w:t>
      </w:r>
      <w:r w:rsidR="00F66D43">
        <w:rPr>
          <w:sz w:val="24"/>
          <w:szCs w:val="24"/>
        </w:rPr>
        <w:t>:</w:t>
      </w:r>
      <w:r w:rsidR="00467E79">
        <w:rPr>
          <w:sz w:val="24"/>
          <w:szCs w:val="24"/>
        </w:rPr>
        <w:t xml:space="preserve"> </w:t>
      </w:r>
      <w:proofErr w:type="spellStart"/>
      <w:r w:rsidR="00BE2DBA">
        <w:rPr>
          <w:sz w:val="24"/>
          <w:szCs w:val="24"/>
        </w:rPr>
        <w:t>rechtebeen</w:t>
      </w:r>
      <w:proofErr w:type="spellEnd"/>
      <w:r w:rsidR="00BE2DBA">
        <w:rPr>
          <w:sz w:val="24"/>
          <w:szCs w:val="24"/>
        </w:rPr>
        <w:t xml:space="preserve"> EAI 0.7- linkerbeen EAI 1.0. De huisarts stelt de diagnose claudicatio </w:t>
      </w:r>
      <w:proofErr w:type="spellStart"/>
      <w:r w:rsidR="00BE2DBA">
        <w:rPr>
          <w:sz w:val="24"/>
          <w:szCs w:val="24"/>
        </w:rPr>
        <w:t>intermittens</w:t>
      </w:r>
      <w:proofErr w:type="spellEnd"/>
      <w:r w:rsidR="00BE2DBA">
        <w:rPr>
          <w:sz w:val="24"/>
          <w:szCs w:val="24"/>
        </w:rPr>
        <w:t>.</w:t>
      </w:r>
      <w:r w:rsidR="00DF28BF">
        <w:rPr>
          <w:sz w:val="24"/>
          <w:szCs w:val="24"/>
        </w:rPr>
        <w:t xml:space="preserve"> De heer krijgt het advies om aan gesuperviseerde looptraining deel te gaan nemen</w:t>
      </w:r>
      <w:r w:rsidR="003B5FD1">
        <w:rPr>
          <w:sz w:val="24"/>
          <w:szCs w:val="24"/>
        </w:rPr>
        <w:t xml:space="preserve"> en goede voetverzorging toe te passen</w:t>
      </w:r>
      <w:r w:rsidR="00F66D43">
        <w:rPr>
          <w:sz w:val="24"/>
          <w:szCs w:val="24"/>
        </w:rPr>
        <w:t>. De heer beweegt al voldoende, hij komt zeker aan de</w:t>
      </w:r>
      <w:r w:rsidR="00D75C6C">
        <w:rPr>
          <w:sz w:val="24"/>
          <w:szCs w:val="24"/>
        </w:rPr>
        <w:t xml:space="preserve"> 150 minuten per week matig intensieve inspanning zoals wandelen en fietsen</w:t>
      </w:r>
      <w:r w:rsidR="00F66D43">
        <w:rPr>
          <w:sz w:val="24"/>
          <w:szCs w:val="24"/>
        </w:rPr>
        <w:t xml:space="preserve"> maar kan dit natuurlijk uitbreiden.</w:t>
      </w:r>
    </w:p>
    <w:p w14:paraId="7088566F" w14:textId="01A6D0E2" w:rsidR="00786537" w:rsidRDefault="00786537" w:rsidP="00FE74E0">
      <w:pPr>
        <w:ind w:left="0"/>
        <w:jc w:val="left"/>
        <w:rPr>
          <w:sz w:val="24"/>
          <w:szCs w:val="24"/>
        </w:rPr>
      </w:pPr>
    </w:p>
    <w:p w14:paraId="32214E38" w14:textId="20DCAD49" w:rsidR="00BE2DBA" w:rsidRPr="00FE74E0" w:rsidRDefault="00782A93" w:rsidP="00FE74E0">
      <w:pPr>
        <w:pStyle w:val="Lijstalinea"/>
        <w:numPr>
          <w:ilvl w:val="0"/>
          <w:numId w:val="8"/>
        </w:numPr>
        <w:jc w:val="left"/>
        <w:rPr>
          <w:sz w:val="24"/>
          <w:szCs w:val="24"/>
        </w:rPr>
      </w:pPr>
      <w:r w:rsidRPr="00FE74E0">
        <w:rPr>
          <w:sz w:val="24"/>
          <w:szCs w:val="24"/>
        </w:rPr>
        <w:t xml:space="preserve">Wat is het </w:t>
      </w:r>
      <w:r w:rsidR="00786537" w:rsidRPr="00FE74E0">
        <w:rPr>
          <w:sz w:val="24"/>
          <w:szCs w:val="24"/>
        </w:rPr>
        <w:t xml:space="preserve">medicamenteuze </w:t>
      </w:r>
      <w:r w:rsidRPr="00FE74E0">
        <w:rPr>
          <w:sz w:val="24"/>
          <w:szCs w:val="24"/>
        </w:rPr>
        <w:t>behandelbeleid</w:t>
      </w:r>
      <w:r w:rsidR="0063412C" w:rsidRPr="00FE74E0">
        <w:rPr>
          <w:sz w:val="24"/>
          <w:szCs w:val="24"/>
        </w:rPr>
        <w:t xml:space="preserve"> bij </w:t>
      </w:r>
      <w:r w:rsidR="003C4FB4" w:rsidRPr="00FE74E0">
        <w:rPr>
          <w:sz w:val="24"/>
          <w:szCs w:val="24"/>
        </w:rPr>
        <w:t>c</w:t>
      </w:r>
      <w:r w:rsidR="0063412C" w:rsidRPr="00FE74E0">
        <w:rPr>
          <w:sz w:val="24"/>
          <w:szCs w:val="24"/>
        </w:rPr>
        <w:t xml:space="preserve">laudicatio </w:t>
      </w:r>
      <w:proofErr w:type="spellStart"/>
      <w:r w:rsidR="0063412C" w:rsidRPr="00FE74E0">
        <w:rPr>
          <w:sz w:val="24"/>
          <w:szCs w:val="24"/>
        </w:rPr>
        <w:t>intermittens</w:t>
      </w:r>
      <w:proofErr w:type="spellEnd"/>
      <w:r w:rsidR="0063412C" w:rsidRPr="00FE74E0">
        <w:rPr>
          <w:sz w:val="24"/>
          <w:szCs w:val="24"/>
        </w:rPr>
        <w:t>?</w:t>
      </w:r>
    </w:p>
    <w:p w14:paraId="393534DD" w14:textId="16DEC30F" w:rsidR="00BE2DBA" w:rsidRPr="0063412C" w:rsidRDefault="00BE2DBA" w:rsidP="0063412C">
      <w:pPr>
        <w:ind w:left="0"/>
        <w:jc w:val="left"/>
        <w:rPr>
          <w:i/>
          <w:iCs/>
          <w:sz w:val="24"/>
          <w:szCs w:val="24"/>
        </w:rPr>
      </w:pPr>
      <w:r w:rsidRPr="0063412C">
        <w:rPr>
          <w:i/>
          <w:iCs/>
          <w:sz w:val="24"/>
          <w:szCs w:val="24"/>
        </w:rPr>
        <w:t>Volgens</w:t>
      </w:r>
      <w:r w:rsidR="00EE4DEC" w:rsidRPr="0063412C">
        <w:rPr>
          <w:i/>
          <w:iCs/>
          <w:sz w:val="24"/>
          <w:szCs w:val="24"/>
        </w:rPr>
        <w:t xml:space="preserve"> de</w:t>
      </w:r>
      <w:r w:rsidRPr="0063412C">
        <w:rPr>
          <w:i/>
          <w:iCs/>
          <w:sz w:val="24"/>
          <w:szCs w:val="24"/>
        </w:rPr>
        <w:t xml:space="preserve"> NHG standaard Perifeer arterieel </w:t>
      </w:r>
      <w:r w:rsidR="00EE4DEC" w:rsidRPr="0063412C">
        <w:rPr>
          <w:i/>
          <w:iCs/>
          <w:sz w:val="24"/>
          <w:szCs w:val="24"/>
        </w:rPr>
        <w:t>vaatlijden wordt net als bij andere patiënten die bekend zijn met een hart- en vaatziekte (Zie NHG-Standaard Cardiovasculair risicomanagement) de behandeling zo nodig ingezet met een antihypertensiva en LDL-cholesterolverlager, waarbij er geen voorkeur is voor specifieke middelen.</w:t>
      </w:r>
    </w:p>
    <w:p w14:paraId="1C90FCBE" w14:textId="1376F1AB" w:rsidR="00BE2DBA" w:rsidRPr="0063412C" w:rsidRDefault="00EE4DEC" w:rsidP="009972BA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63412C">
        <w:rPr>
          <w:rFonts w:asciiTheme="minorHAnsi" w:hAnsiTheme="minorHAnsi" w:cstheme="minorHAnsi"/>
          <w:i/>
          <w:iCs/>
        </w:rPr>
        <w:t>Tevens is het gebruik van een trombocytenaggregatieremmer (zoals acetylsalicylzuur) geïndiceerd.</w:t>
      </w:r>
      <w:r w:rsidR="00746A2B" w:rsidRPr="0063412C">
        <w:rPr>
          <w:rFonts w:asciiTheme="minorHAnsi" w:hAnsiTheme="minorHAnsi" w:cstheme="minorHAnsi"/>
          <w:i/>
          <w:iCs/>
        </w:rPr>
        <w:t xml:space="preserve"> Voor de heer in bovenstaande casus wordt dus een cholesterolverlager en een trombocytenaggregatieremmer voorgeschreven. Hij gebruikt al een antihypertensiva</w:t>
      </w:r>
      <w:r w:rsidR="00DF28BF" w:rsidRPr="0063412C">
        <w:rPr>
          <w:rFonts w:asciiTheme="minorHAnsi" w:hAnsiTheme="minorHAnsi" w:cstheme="minorHAnsi"/>
          <w:i/>
          <w:iCs/>
        </w:rPr>
        <w:t xml:space="preserve"> en zijn bloeddruk is hiermee goed ingesteld.</w:t>
      </w:r>
      <w:r w:rsidR="00587416" w:rsidRPr="0063412C">
        <w:rPr>
          <w:rFonts w:asciiTheme="minorHAnsi" w:hAnsiTheme="minorHAnsi" w:cstheme="minorHAnsi"/>
          <w:i/>
          <w:iCs/>
        </w:rPr>
        <w:t xml:space="preserve"> (Streef naar een systolische bloeddruk &lt; 150</w:t>
      </w:r>
      <w:r w:rsidR="009972BA" w:rsidRPr="0063412C">
        <w:rPr>
          <w:rFonts w:asciiTheme="minorHAnsi" w:hAnsiTheme="minorHAnsi" w:cstheme="minorHAnsi"/>
          <w:i/>
          <w:iCs/>
        </w:rPr>
        <w:t xml:space="preserve">mmHg bij vitale ouderen. Overweeg bij het verdragen en het niet optreden van bijwerkingen van de </w:t>
      </w:r>
      <w:r w:rsidR="009972BA" w:rsidRPr="0063412C">
        <w:rPr>
          <w:rFonts w:asciiTheme="minorHAnsi" w:hAnsiTheme="minorHAnsi" w:cstheme="minorHAnsi"/>
          <w:i/>
          <w:iCs/>
        </w:rPr>
        <w:lastRenderedPageBreak/>
        <w:t xml:space="preserve">medicatie de systolische bloeddruk nog verder te verlagen onder 140 </w:t>
      </w:r>
      <w:proofErr w:type="spellStart"/>
      <w:r w:rsidR="009972BA" w:rsidRPr="0063412C">
        <w:rPr>
          <w:rFonts w:asciiTheme="minorHAnsi" w:hAnsiTheme="minorHAnsi" w:cstheme="minorHAnsi"/>
          <w:i/>
          <w:iCs/>
        </w:rPr>
        <w:t>mmHg</w:t>
      </w:r>
      <w:proofErr w:type="spellEnd"/>
      <w:r w:rsidR="009972BA" w:rsidRPr="0063412C">
        <w:rPr>
          <w:rFonts w:asciiTheme="minorHAnsi" w:hAnsiTheme="minorHAnsi" w:cstheme="minorHAnsi"/>
          <w:i/>
          <w:iCs/>
        </w:rPr>
        <w:t>. Monitor de bijwerkingen bij iedere controle).</w:t>
      </w:r>
    </w:p>
    <w:p w14:paraId="5276650B" w14:textId="77777777" w:rsidR="0081644B" w:rsidRPr="0081644B" w:rsidRDefault="0081644B" w:rsidP="0081644B">
      <w:pPr>
        <w:jc w:val="left"/>
        <w:rPr>
          <w:sz w:val="24"/>
          <w:szCs w:val="24"/>
        </w:rPr>
      </w:pPr>
    </w:p>
    <w:p w14:paraId="3F09805D" w14:textId="1D77AF15" w:rsidR="0063412C" w:rsidRPr="00FE74E0" w:rsidRDefault="0081644B" w:rsidP="00FE74E0">
      <w:pPr>
        <w:pStyle w:val="Lijstalinea"/>
        <w:numPr>
          <w:ilvl w:val="0"/>
          <w:numId w:val="8"/>
        </w:numPr>
        <w:jc w:val="left"/>
        <w:rPr>
          <w:sz w:val="24"/>
          <w:szCs w:val="24"/>
        </w:rPr>
      </w:pPr>
      <w:r w:rsidRPr="00FE74E0">
        <w:rPr>
          <w:sz w:val="24"/>
          <w:szCs w:val="24"/>
        </w:rPr>
        <w:t>Wat is de streefwaarde van het LDL cholesterol</w:t>
      </w:r>
      <w:r w:rsidR="006D4EEB" w:rsidRPr="00FE74E0">
        <w:rPr>
          <w:sz w:val="24"/>
          <w:szCs w:val="24"/>
        </w:rPr>
        <w:t xml:space="preserve"> en is deze aan verandering onderhevig</w:t>
      </w:r>
      <w:r w:rsidRPr="00FE74E0">
        <w:rPr>
          <w:sz w:val="24"/>
          <w:szCs w:val="24"/>
        </w:rPr>
        <w:t>?</w:t>
      </w:r>
    </w:p>
    <w:p w14:paraId="5E351338" w14:textId="69E17EA4" w:rsidR="00EE4DEC" w:rsidRPr="0063412C" w:rsidRDefault="00EE4DEC" w:rsidP="0063412C">
      <w:pPr>
        <w:ind w:left="0"/>
        <w:jc w:val="left"/>
        <w:rPr>
          <w:sz w:val="24"/>
          <w:szCs w:val="24"/>
        </w:rPr>
      </w:pPr>
      <w:r w:rsidRPr="0063412C">
        <w:rPr>
          <w:i/>
          <w:iCs/>
          <w:sz w:val="24"/>
          <w:szCs w:val="24"/>
        </w:rPr>
        <w:t xml:space="preserve">De streefwaarde van het LDL cholesterol is bij patiënten met HVZ en ouder dan </w:t>
      </w:r>
      <w:r w:rsidR="00746A2B" w:rsidRPr="0063412C">
        <w:rPr>
          <w:i/>
          <w:iCs/>
          <w:sz w:val="24"/>
          <w:szCs w:val="24"/>
        </w:rPr>
        <w:t xml:space="preserve">70 jaar &lt; 2.6 </w:t>
      </w:r>
      <w:proofErr w:type="spellStart"/>
      <w:r w:rsidR="00746A2B" w:rsidRPr="0063412C">
        <w:rPr>
          <w:i/>
          <w:iCs/>
          <w:sz w:val="24"/>
          <w:szCs w:val="24"/>
        </w:rPr>
        <w:t>mmol</w:t>
      </w:r>
      <w:proofErr w:type="spellEnd"/>
      <w:r w:rsidR="00746A2B" w:rsidRPr="0063412C">
        <w:rPr>
          <w:i/>
          <w:iCs/>
          <w:sz w:val="24"/>
          <w:szCs w:val="24"/>
        </w:rPr>
        <w:t>/l. Was de heer in bovenstaande casus 70 jaar of jonger geweest</w:t>
      </w:r>
      <w:r w:rsidR="00DD0250" w:rsidRPr="0063412C">
        <w:rPr>
          <w:i/>
          <w:iCs/>
          <w:sz w:val="24"/>
          <w:szCs w:val="24"/>
        </w:rPr>
        <w:t xml:space="preserve"> </w:t>
      </w:r>
      <w:r w:rsidR="00746A2B" w:rsidRPr="0063412C">
        <w:rPr>
          <w:i/>
          <w:iCs/>
          <w:sz w:val="24"/>
          <w:szCs w:val="24"/>
        </w:rPr>
        <w:t xml:space="preserve">dan </w:t>
      </w:r>
      <w:r w:rsidR="00DD0250" w:rsidRPr="0063412C">
        <w:rPr>
          <w:i/>
          <w:iCs/>
          <w:sz w:val="24"/>
          <w:szCs w:val="24"/>
        </w:rPr>
        <w:t xml:space="preserve">was de streefwaarde van het LDL &lt; 1.8 </w:t>
      </w:r>
      <w:proofErr w:type="spellStart"/>
      <w:r w:rsidR="00DD0250" w:rsidRPr="0063412C">
        <w:rPr>
          <w:i/>
          <w:iCs/>
          <w:sz w:val="24"/>
          <w:szCs w:val="24"/>
        </w:rPr>
        <w:t>mmol</w:t>
      </w:r>
      <w:proofErr w:type="spellEnd"/>
      <w:r w:rsidR="00DD0250" w:rsidRPr="0063412C">
        <w:rPr>
          <w:i/>
          <w:iCs/>
          <w:sz w:val="24"/>
          <w:szCs w:val="24"/>
        </w:rPr>
        <w:t>/l geweest.</w:t>
      </w:r>
    </w:p>
    <w:p w14:paraId="24960A05" w14:textId="77777777" w:rsidR="0081644B" w:rsidRPr="0063412C" w:rsidRDefault="0081644B" w:rsidP="0081644B">
      <w:pPr>
        <w:pStyle w:val="Lijstalinea"/>
        <w:rPr>
          <w:i/>
          <w:iCs/>
          <w:sz w:val="24"/>
          <w:szCs w:val="24"/>
        </w:rPr>
      </w:pPr>
    </w:p>
    <w:p w14:paraId="275FE30C" w14:textId="5501C620" w:rsidR="0081644B" w:rsidRPr="00FE74E0" w:rsidRDefault="008A27F9" w:rsidP="00FE74E0">
      <w:pPr>
        <w:pStyle w:val="Lijstalinea"/>
        <w:numPr>
          <w:ilvl w:val="0"/>
          <w:numId w:val="8"/>
        </w:numPr>
        <w:jc w:val="left"/>
        <w:rPr>
          <w:sz w:val="24"/>
          <w:szCs w:val="24"/>
        </w:rPr>
      </w:pPr>
      <w:r w:rsidRPr="00FE74E0">
        <w:rPr>
          <w:sz w:val="24"/>
          <w:szCs w:val="24"/>
        </w:rPr>
        <w:t xml:space="preserve">Hoe te handelen </w:t>
      </w:r>
      <w:r w:rsidR="0081644B" w:rsidRPr="00FE74E0">
        <w:rPr>
          <w:sz w:val="24"/>
          <w:szCs w:val="24"/>
        </w:rPr>
        <w:t>als de heer bijwerkingen heeft van de statine?</w:t>
      </w:r>
    </w:p>
    <w:p w14:paraId="574C61DE" w14:textId="2922685E" w:rsidR="00DD0250" w:rsidRPr="001429C8" w:rsidRDefault="00C112F2" w:rsidP="001429C8">
      <w:pPr>
        <w:ind w:left="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Staak de statine en evalueer de klachten na 4 weken. Bij een verband van de klachten met het gebruik van de statine (direct verdwijnen van de klachten na stoppen statine): herstart in de hoogste dosering die de patiënt nog wel verdraagt (doseer eventueel om de dag) of stap over op</w:t>
      </w:r>
      <w:r w:rsidR="00DD0250" w:rsidRPr="001429C8">
        <w:rPr>
          <w:i/>
          <w:iCs/>
          <w:sz w:val="24"/>
          <w:szCs w:val="24"/>
        </w:rPr>
        <w:t xml:space="preserve"> een andere statine.</w:t>
      </w:r>
    </w:p>
    <w:p w14:paraId="602EDB39" w14:textId="77777777" w:rsidR="00DD0250" w:rsidRDefault="00DD0250" w:rsidP="00DD0250">
      <w:pPr>
        <w:pStyle w:val="Lijstalinea"/>
        <w:ind w:left="1004"/>
        <w:jc w:val="left"/>
        <w:rPr>
          <w:sz w:val="24"/>
          <w:szCs w:val="24"/>
        </w:rPr>
      </w:pPr>
    </w:p>
    <w:p w14:paraId="25945B30" w14:textId="5EF9E894" w:rsidR="008A27F9" w:rsidRPr="00FE74E0" w:rsidRDefault="008A27F9" w:rsidP="00FE74E0">
      <w:pPr>
        <w:pStyle w:val="Lijstalinea"/>
        <w:numPr>
          <w:ilvl w:val="0"/>
          <w:numId w:val="8"/>
        </w:numPr>
        <w:jc w:val="left"/>
        <w:rPr>
          <w:sz w:val="24"/>
          <w:szCs w:val="24"/>
        </w:rPr>
      </w:pPr>
      <w:r w:rsidRPr="00FE74E0">
        <w:rPr>
          <w:sz w:val="24"/>
          <w:szCs w:val="24"/>
        </w:rPr>
        <w:t>Wat te doen bij niet bereiken van de streefwaarde</w:t>
      </w:r>
      <w:r w:rsidR="006D4EEB" w:rsidRPr="00FE74E0">
        <w:rPr>
          <w:sz w:val="24"/>
          <w:szCs w:val="24"/>
        </w:rPr>
        <w:t xml:space="preserve"> voor het cholesterol</w:t>
      </w:r>
      <w:r w:rsidRPr="00FE74E0">
        <w:rPr>
          <w:sz w:val="24"/>
          <w:szCs w:val="24"/>
        </w:rPr>
        <w:t>?</w:t>
      </w:r>
    </w:p>
    <w:p w14:paraId="6C90626B" w14:textId="43BF6CEF" w:rsidR="00DD0250" w:rsidRPr="001429C8" w:rsidRDefault="00DD0250" w:rsidP="001429C8">
      <w:pPr>
        <w:ind w:left="0"/>
        <w:jc w:val="left"/>
        <w:rPr>
          <w:sz w:val="24"/>
          <w:szCs w:val="24"/>
        </w:rPr>
      </w:pPr>
      <w:r w:rsidRPr="001429C8">
        <w:rPr>
          <w:i/>
          <w:iCs/>
          <w:sz w:val="24"/>
          <w:szCs w:val="24"/>
        </w:rPr>
        <w:t xml:space="preserve">Bij niet bereiken van de streefwaarde: intensiveer de </w:t>
      </w:r>
      <w:proofErr w:type="spellStart"/>
      <w:r w:rsidRPr="001429C8">
        <w:rPr>
          <w:i/>
          <w:iCs/>
          <w:sz w:val="24"/>
          <w:szCs w:val="24"/>
        </w:rPr>
        <w:t>lipidenverlagende</w:t>
      </w:r>
      <w:proofErr w:type="spellEnd"/>
      <w:r w:rsidRPr="001429C8">
        <w:rPr>
          <w:i/>
          <w:iCs/>
          <w:sz w:val="24"/>
          <w:szCs w:val="24"/>
        </w:rPr>
        <w:t xml:space="preserve"> therapie (hogere dosis statine als de maximumdosering van de statine nog niet bereikt is of stap over naar een sterker werkende statine). Indien de streefwaarde dan nog niet wordt bereikt: overweeg </w:t>
      </w:r>
      <w:proofErr w:type="spellStart"/>
      <w:r w:rsidRPr="001429C8">
        <w:rPr>
          <w:i/>
          <w:iCs/>
          <w:sz w:val="24"/>
          <w:szCs w:val="24"/>
        </w:rPr>
        <w:t>ezetimib</w:t>
      </w:r>
      <w:proofErr w:type="spellEnd"/>
      <w:r w:rsidRPr="001429C8">
        <w:rPr>
          <w:i/>
          <w:iCs/>
          <w:sz w:val="24"/>
          <w:szCs w:val="24"/>
        </w:rPr>
        <w:t xml:space="preserve"> toe te voegen</w:t>
      </w:r>
      <w:r w:rsidRPr="001429C8">
        <w:rPr>
          <w:sz w:val="24"/>
          <w:szCs w:val="24"/>
        </w:rPr>
        <w:t>.</w:t>
      </w:r>
    </w:p>
    <w:p w14:paraId="458E328D" w14:textId="77777777" w:rsidR="006D4EEB" w:rsidRPr="006D4EEB" w:rsidRDefault="006D4EEB" w:rsidP="006D4EEB">
      <w:pPr>
        <w:pStyle w:val="Lijstalinea"/>
        <w:rPr>
          <w:sz w:val="24"/>
          <w:szCs w:val="24"/>
        </w:rPr>
      </w:pPr>
    </w:p>
    <w:p w14:paraId="08690A33" w14:textId="0B0342AF" w:rsidR="0074008D" w:rsidRPr="00FE74E0" w:rsidRDefault="006D4EEB" w:rsidP="00FE74E0">
      <w:pPr>
        <w:pStyle w:val="Lijstalinea"/>
        <w:numPr>
          <w:ilvl w:val="0"/>
          <w:numId w:val="8"/>
        </w:numPr>
        <w:jc w:val="left"/>
        <w:rPr>
          <w:sz w:val="24"/>
          <w:szCs w:val="24"/>
        </w:rPr>
      </w:pPr>
      <w:r w:rsidRPr="00FE74E0">
        <w:rPr>
          <w:sz w:val="24"/>
          <w:szCs w:val="24"/>
        </w:rPr>
        <w:t>De heer</w:t>
      </w:r>
      <w:r w:rsidR="00AF035A" w:rsidRPr="00FE74E0">
        <w:rPr>
          <w:sz w:val="24"/>
          <w:szCs w:val="24"/>
        </w:rPr>
        <w:t xml:space="preserve"> is</w:t>
      </w:r>
      <w:r w:rsidR="001429C8" w:rsidRPr="00FE74E0">
        <w:rPr>
          <w:sz w:val="24"/>
          <w:szCs w:val="24"/>
        </w:rPr>
        <w:t xml:space="preserve"> nu</w:t>
      </w:r>
      <w:r w:rsidR="00AF035A" w:rsidRPr="00FE74E0">
        <w:rPr>
          <w:sz w:val="24"/>
          <w:szCs w:val="24"/>
        </w:rPr>
        <w:t xml:space="preserve"> op</w:t>
      </w:r>
      <w:r w:rsidRPr="00FE74E0">
        <w:rPr>
          <w:sz w:val="24"/>
          <w:szCs w:val="24"/>
        </w:rPr>
        <w:t xml:space="preserve"> hoge leeftijd</w:t>
      </w:r>
      <w:r w:rsidR="00AF035A" w:rsidRPr="00FE74E0">
        <w:rPr>
          <w:sz w:val="24"/>
          <w:szCs w:val="24"/>
        </w:rPr>
        <w:t xml:space="preserve"> en kwetsbaar</w:t>
      </w:r>
      <w:r w:rsidRPr="00FE74E0">
        <w:rPr>
          <w:sz w:val="24"/>
          <w:szCs w:val="24"/>
        </w:rPr>
        <w:t>; wat doe je met de voorgeschreven medic</w:t>
      </w:r>
      <w:r w:rsidR="0074008D" w:rsidRPr="00FE74E0">
        <w:rPr>
          <w:sz w:val="24"/>
          <w:szCs w:val="24"/>
        </w:rPr>
        <w:t>atie?</w:t>
      </w:r>
    </w:p>
    <w:p w14:paraId="628BD654" w14:textId="77777777" w:rsidR="000D439F" w:rsidRDefault="00AF035A" w:rsidP="001429C8">
      <w:pPr>
        <w:ind w:left="0"/>
        <w:jc w:val="left"/>
        <w:rPr>
          <w:i/>
          <w:iCs/>
          <w:sz w:val="24"/>
          <w:szCs w:val="24"/>
        </w:rPr>
      </w:pPr>
      <w:r w:rsidRPr="001429C8">
        <w:rPr>
          <w:i/>
          <w:iCs/>
          <w:sz w:val="24"/>
          <w:szCs w:val="24"/>
        </w:rPr>
        <w:t xml:space="preserve">Overweeg te stoppen met </w:t>
      </w:r>
      <w:proofErr w:type="spellStart"/>
      <w:r w:rsidRPr="001429C8">
        <w:rPr>
          <w:i/>
          <w:iCs/>
          <w:sz w:val="24"/>
          <w:szCs w:val="24"/>
        </w:rPr>
        <w:t>lipidenverlagende</w:t>
      </w:r>
      <w:proofErr w:type="spellEnd"/>
      <w:r w:rsidRPr="001429C8">
        <w:rPr>
          <w:i/>
          <w:iCs/>
          <w:sz w:val="24"/>
          <w:szCs w:val="24"/>
        </w:rPr>
        <w:t xml:space="preserve"> medicatie bij kwetsbare ouderen met hart- en vaatziekten, met name bij het optreden van een mogelijke bijwerking of bij een geringe geschatte resterende levensverwachting.</w:t>
      </w:r>
      <w:r w:rsidR="00FE74E0">
        <w:rPr>
          <w:i/>
          <w:iCs/>
          <w:sz w:val="24"/>
          <w:szCs w:val="24"/>
        </w:rPr>
        <w:t xml:space="preserve"> </w:t>
      </w:r>
    </w:p>
    <w:p w14:paraId="5E93A83E" w14:textId="5B478A27" w:rsidR="0074008D" w:rsidRPr="001429C8" w:rsidRDefault="0074008D" w:rsidP="001429C8">
      <w:pPr>
        <w:ind w:left="0"/>
        <w:jc w:val="left"/>
        <w:rPr>
          <w:i/>
          <w:iCs/>
          <w:sz w:val="24"/>
          <w:szCs w:val="24"/>
        </w:rPr>
      </w:pPr>
      <w:r w:rsidRPr="001429C8">
        <w:rPr>
          <w:i/>
          <w:iCs/>
          <w:sz w:val="24"/>
          <w:szCs w:val="24"/>
        </w:rPr>
        <w:t xml:space="preserve">Streef naar een systolische bloeddruk &lt;150 </w:t>
      </w:r>
      <w:proofErr w:type="spellStart"/>
      <w:r w:rsidRPr="001429C8">
        <w:rPr>
          <w:i/>
          <w:iCs/>
          <w:sz w:val="24"/>
          <w:szCs w:val="24"/>
        </w:rPr>
        <w:t>mmHg</w:t>
      </w:r>
      <w:proofErr w:type="spellEnd"/>
      <w:r w:rsidRPr="001429C8">
        <w:rPr>
          <w:i/>
          <w:iCs/>
          <w:sz w:val="24"/>
          <w:szCs w:val="24"/>
        </w:rPr>
        <w:t xml:space="preserve"> bij kwetsbare ouderen onder de voorwaarde van voorzichtig titreren. </w:t>
      </w:r>
    </w:p>
    <w:p w14:paraId="46C90205" w14:textId="3ED910B5" w:rsidR="0074008D" w:rsidRPr="001429C8" w:rsidRDefault="0074008D" w:rsidP="001429C8">
      <w:pPr>
        <w:ind w:left="0"/>
        <w:jc w:val="left"/>
        <w:rPr>
          <w:i/>
          <w:iCs/>
          <w:sz w:val="24"/>
          <w:szCs w:val="24"/>
        </w:rPr>
      </w:pPr>
      <w:r w:rsidRPr="001429C8">
        <w:rPr>
          <w:i/>
          <w:iCs/>
          <w:sz w:val="24"/>
          <w:szCs w:val="24"/>
        </w:rPr>
        <w:t xml:space="preserve">Stop met het verder intensiveren van bloeddrukverlagende behandeling en overweeg het verlagen van de dosering bij kwetsbare ouderen met een diastolische bloeddruk &lt;70 </w:t>
      </w:r>
      <w:proofErr w:type="spellStart"/>
      <w:r w:rsidRPr="001429C8">
        <w:rPr>
          <w:i/>
          <w:iCs/>
          <w:sz w:val="24"/>
          <w:szCs w:val="24"/>
        </w:rPr>
        <w:t>mmHg</w:t>
      </w:r>
      <w:proofErr w:type="spellEnd"/>
      <w:r w:rsidRPr="001429C8">
        <w:rPr>
          <w:i/>
          <w:iCs/>
          <w:sz w:val="24"/>
          <w:szCs w:val="24"/>
        </w:rPr>
        <w:t xml:space="preserve"> ongeacht de hoogte van de systolische bloeddruk.</w:t>
      </w:r>
    </w:p>
    <w:p w14:paraId="1FCF523A" w14:textId="711EBAEA" w:rsidR="0074008D" w:rsidRPr="001429C8" w:rsidRDefault="0074008D" w:rsidP="001429C8">
      <w:pPr>
        <w:ind w:left="0"/>
        <w:jc w:val="left"/>
        <w:rPr>
          <w:i/>
          <w:iCs/>
          <w:sz w:val="24"/>
          <w:szCs w:val="24"/>
        </w:rPr>
      </w:pPr>
      <w:r w:rsidRPr="001429C8">
        <w:rPr>
          <w:i/>
          <w:iCs/>
          <w:sz w:val="24"/>
          <w:szCs w:val="24"/>
        </w:rPr>
        <w:t>Monitor het optreden van eventuele bijwerkingen bij kwetsbare ouderen.</w:t>
      </w:r>
    </w:p>
    <w:p w14:paraId="42F590B4" w14:textId="61BD203B" w:rsidR="0030628B" w:rsidRPr="001429C8" w:rsidRDefault="0030628B" w:rsidP="0074008D">
      <w:pPr>
        <w:pStyle w:val="Lijstalinea"/>
        <w:ind w:left="1004"/>
        <w:jc w:val="left"/>
        <w:rPr>
          <w:i/>
          <w:iCs/>
          <w:sz w:val="24"/>
          <w:szCs w:val="24"/>
        </w:rPr>
      </w:pPr>
    </w:p>
    <w:p w14:paraId="095C4BC2" w14:textId="77777777" w:rsidR="00AF789B" w:rsidRDefault="0030628B" w:rsidP="001429C8">
      <w:pPr>
        <w:ind w:left="0"/>
        <w:jc w:val="left"/>
        <w:rPr>
          <w:i/>
          <w:iCs/>
          <w:sz w:val="24"/>
          <w:szCs w:val="24"/>
        </w:rPr>
      </w:pPr>
      <w:r w:rsidRPr="001429C8">
        <w:rPr>
          <w:i/>
          <w:iCs/>
          <w:sz w:val="24"/>
          <w:szCs w:val="24"/>
        </w:rPr>
        <w:t>Overweeg stoppen met trombocytenaggregatieremmer bij een geringe resterende levensverwachting.</w:t>
      </w:r>
      <w:r w:rsidR="004E7F86" w:rsidRPr="001429C8">
        <w:rPr>
          <w:i/>
          <w:iCs/>
          <w:sz w:val="24"/>
          <w:szCs w:val="24"/>
        </w:rPr>
        <w:t xml:space="preserve"> (MDR Polyfarmacie – module minderen en stoppen medicatie Kennisdocument Trombocytenaggregatieremmers)?</w:t>
      </w:r>
    </w:p>
    <w:p w14:paraId="7F952326" w14:textId="2CD14F20" w:rsidR="000763AF" w:rsidRDefault="00AF789B" w:rsidP="000763AF">
      <w:pPr>
        <w:ind w:left="0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hyperlink r:id="rId6" w:history="1">
        <w:r w:rsidR="000763AF" w:rsidRPr="004F55A1">
          <w:rPr>
            <w:rStyle w:val="Hyperlink"/>
            <w:i/>
            <w:iCs/>
            <w:sz w:val="24"/>
            <w:szCs w:val="24"/>
          </w:rPr>
          <w:t>https://richtlijnen.nhg.org/files/202011/Eindversie%20Kennisdocument%20Trombocytenaggregatieremmers_0.pdf</w:t>
        </w:r>
      </w:hyperlink>
    </w:p>
    <w:p w14:paraId="72EECDBE" w14:textId="072F08F5" w:rsidR="000763AF" w:rsidRDefault="000763AF" w:rsidP="000763AF">
      <w:pPr>
        <w:ind w:left="0"/>
        <w:jc w:val="left"/>
        <w:rPr>
          <w:i/>
          <w:iCs/>
          <w:sz w:val="24"/>
          <w:szCs w:val="24"/>
        </w:rPr>
      </w:pPr>
    </w:p>
    <w:p w14:paraId="199A1E5A" w14:textId="18D94A21" w:rsidR="000763AF" w:rsidRPr="000763AF" w:rsidRDefault="0053613B" w:rsidP="000763AF">
      <w:pPr>
        <w:ind w:left="0"/>
        <w:jc w:val="left"/>
        <w:rPr>
          <w:i/>
          <w:iCs/>
          <w:sz w:val="24"/>
          <w:szCs w:val="24"/>
        </w:rPr>
      </w:pPr>
      <w:r>
        <w:rPr>
          <w:rFonts w:eastAsia="Times New Roman" w:cstheme="minorHAnsi"/>
          <w:bCs/>
          <w:noProof/>
          <w:color w:val="0F0F0F"/>
          <w:kern w:val="36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169466D5" wp14:editId="25FF7AA1">
            <wp:simplePos x="0" y="0"/>
            <wp:positionH relativeFrom="column">
              <wp:posOffset>4548505</wp:posOffset>
            </wp:positionH>
            <wp:positionV relativeFrom="paragraph">
              <wp:posOffset>-96520</wp:posOffset>
            </wp:positionV>
            <wp:extent cx="1287145" cy="794385"/>
            <wp:effectExtent l="0" t="0" r="8255" b="5715"/>
            <wp:wrapThrough wrapText="bothSides">
              <wp:wrapPolygon edited="0">
                <wp:start x="0" y="0"/>
                <wp:lineTo x="0" y="21237"/>
                <wp:lineTo x="21419" y="21237"/>
                <wp:lineTo x="21419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3AF">
        <w:rPr>
          <w:rFonts w:eastAsia="Times New Roman" w:cstheme="minorHAnsi"/>
          <w:bCs/>
          <w:color w:val="0F0F0F"/>
          <w:kern w:val="36"/>
          <w:sz w:val="24"/>
          <w:szCs w:val="24"/>
          <w:lang w:eastAsia="nl-NL"/>
        </w:rPr>
        <w:t>Veel dank aan Joan Kaptein, praktijkondersteuner Huisartsenpraktijk Medisch Centrum Oost te Oosterblokker</w:t>
      </w:r>
      <w:r>
        <w:rPr>
          <w:rFonts w:eastAsia="Times New Roman" w:cstheme="minorHAnsi"/>
          <w:bCs/>
          <w:color w:val="0F0F0F"/>
          <w:kern w:val="36"/>
          <w:sz w:val="24"/>
          <w:szCs w:val="24"/>
          <w:lang w:eastAsia="nl-NL"/>
        </w:rPr>
        <w:t xml:space="preserve"> voor het</w:t>
      </w:r>
      <w:r w:rsidR="000763AF">
        <w:rPr>
          <w:rFonts w:eastAsia="Times New Roman" w:cstheme="minorHAnsi"/>
          <w:bCs/>
          <w:color w:val="0F0F0F"/>
          <w:kern w:val="36"/>
          <w:sz w:val="24"/>
          <w:szCs w:val="24"/>
          <w:lang w:eastAsia="nl-NL"/>
        </w:rPr>
        <w:t xml:space="preserve"> tot stand</w:t>
      </w:r>
      <w:r>
        <w:rPr>
          <w:rFonts w:eastAsia="Times New Roman" w:cstheme="minorHAnsi"/>
          <w:bCs/>
          <w:color w:val="0F0F0F"/>
          <w:kern w:val="36"/>
          <w:sz w:val="24"/>
          <w:szCs w:val="24"/>
          <w:lang w:eastAsia="nl-NL"/>
        </w:rPr>
        <w:t xml:space="preserve"> komen</w:t>
      </w:r>
      <w:r w:rsidR="000763AF">
        <w:rPr>
          <w:rFonts w:eastAsia="Times New Roman" w:cstheme="minorHAnsi"/>
          <w:bCs/>
          <w:color w:val="0F0F0F"/>
          <w:kern w:val="36"/>
          <w:sz w:val="24"/>
          <w:szCs w:val="24"/>
          <w:lang w:eastAsia="nl-NL"/>
        </w:rPr>
        <w:t xml:space="preserve"> van de casuïstiek van deze bouwsteen.</w:t>
      </w:r>
    </w:p>
    <w:p w14:paraId="435DCDDE" w14:textId="14023E3A" w:rsidR="00F11141" w:rsidRDefault="00F11141" w:rsidP="00172A5E">
      <w:pPr>
        <w:ind w:left="0"/>
      </w:pPr>
    </w:p>
    <w:sectPr w:rsidR="00F1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20A4"/>
    <w:multiLevelType w:val="hybridMultilevel"/>
    <w:tmpl w:val="32CC4E04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A712ED"/>
    <w:multiLevelType w:val="hybridMultilevel"/>
    <w:tmpl w:val="94A639E2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>
      <w:start w:val="1"/>
      <w:numFmt w:val="lowerLetter"/>
      <w:lvlText w:val="%2."/>
      <w:lvlJc w:val="left"/>
      <w:pPr>
        <w:ind w:left="1724" w:hanging="360"/>
      </w:pPr>
    </w:lvl>
    <w:lvl w:ilvl="2" w:tplc="0413001B">
      <w:start w:val="1"/>
      <w:numFmt w:val="lowerRoman"/>
      <w:lvlText w:val="%3."/>
      <w:lvlJc w:val="right"/>
      <w:pPr>
        <w:ind w:left="2444" w:hanging="180"/>
      </w:pPr>
    </w:lvl>
    <w:lvl w:ilvl="3" w:tplc="0413000F">
      <w:start w:val="1"/>
      <w:numFmt w:val="decimal"/>
      <w:lvlText w:val="%4."/>
      <w:lvlJc w:val="left"/>
      <w:pPr>
        <w:ind w:left="3164" w:hanging="360"/>
      </w:pPr>
    </w:lvl>
    <w:lvl w:ilvl="4" w:tplc="04130019">
      <w:start w:val="1"/>
      <w:numFmt w:val="lowerLetter"/>
      <w:lvlText w:val="%5."/>
      <w:lvlJc w:val="left"/>
      <w:pPr>
        <w:ind w:left="3884" w:hanging="360"/>
      </w:pPr>
    </w:lvl>
    <w:lvl w:ilvl="5" w:tplc="0413001B">
      <w:start w:val="1"/>
      <w:numFmt w:val="lowerRoman"/>
      <w:lvlText w:val="%6."/>
      <w:lvlJc w:val="right"/>
      <w:pPr>
        <w:ind w:left="4604" w:hanging="180"/>
      </w:pPr>
    </w:lvl>
    <w:lvl w:ilvl="6" w:tplc="0413000F">
      <w:start w:val="1"/>
      <w:numFmt w:val="decimal"/>
      <w:lvlText w:val="%7."/>
      <w:lvlJc w:val="left"/>
      <w:pPr>
        <w:ind w:left="5324" w:hanging="360"/>
      </w:pPr>
    </w:lvl>
    <w:lvl w:ilvl="7" w:tplc="04130019">
      <w:start w:val="1"/>
      <w:numFmt w:val="lowerLetter"/>
      <w:lvlText w:val="%8."/>
      <w:lvlJc w:val="left"/>
      <w:pPr>
        <w:ind w:left="6044" w:hanging="360"/>
      </w:pPr>
    </w:lvl>
    <w:lvl w:ilvl="8" w:tplc="0413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9ED585D"/>
    <w:multiLevelType w:val="hybridMultilevel"/>
    <w:tmpl w:val="0D1C718C"/>
    <w:lvl w:ilvl="0" w:tplc="70E8D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FB361E"/>
    <w:multiLevelType w:val="multilevel"/>
    <w:tmpl w:val="CCA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26BE1"/>
    <w:multiLevelType w:val="hybridMultilevel"/>
    <w:tmpl w:val="AF5266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25D79"/>
    <w:multiLevelType w:val="multilevel"/>
    <w:tmpl w:val="8C20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A72786"/>
    <w:multiLevelType w:val="multilevel"/>
    <w:tmpl w:val="D0F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15F59"/>
    <w:multiLevelType w:val="hybridMultilevel"/>
    <w:tmpl w:val="2758CF2C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72195089">
    <w:abstractNumId w:val="0"/>
  </w:num>
  <w:num w:numId="2" w16cid:durableId="2141875891">
    <w:abstractNumId w:val="7"/>
  </w:num>
  <w:num w:numId="3" w16cid:durableId="12460663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8491803">
    <w:abstractNumId w:val="6"/>
  </w:num>
  <w:num w:numId="5" w16cid:durableId="1002390862">
    <w:abstractNumId w:val="3"/>
  </w:num>
  <w:num w:numId="6" w16cid:durableId="519859895">
    <w:abstractNumId w:val="2"/>
  </w:num>
  <w:num w:numId="7" w16cid:durableId="1538277439">
    <w:abstractNumId w:val="5"/>
  </w:num>
  <w:num w:numId="8" w16cid:durableId="1670137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93"/>
    <w:rsid w:val="000763AF"/>
    <w:rsid w:val="000D439F"/>
    <w:rsid w:val="001271BC"/>
    <w:rsid w:val="001429C8"/>
    <w:rsid w:val="00172A5E"/>
    <w:rsid w:val="0023651D"/>
    <w:rsid w:val="00270544"/>
    <w:rsid w:val="0030628B"/>
    <w:rsid w:val="003B5FD1"/>
    <w:rsid w:val="003C4FB4"/>
    <w:rsid w:val="00467E79"/>
    <w:rsid w:val="004E7F86"/>
    <w:rsid w:val="0053613B"/>
    <w:rsid w:val="00587416"/>
    <w:rsid w:val="005A40BB"/>
    <w:rsid w:val="00633FF0"/>
    <w:rsid w:val="0063412C"/>
    <w:rsid w:val="00646B58"/>
    <w:rsid w:val="006A5563"/>
    <w:rsid w:val="006D4EEB"/>
    <w:rsid w:val="0074008D"/>
    <w:rsid w:val="00746A2B"/>
    <w:rsid w:val="00782A93"/>
    <w:rsid w:val="00786537"/>
    <w:rsid w:val="0081644B"/>
    <w:rsid w:val="008A27F9"/>
    <w:rsid w:val="009972BA"/>
    <w:rsid w:val="009A6A22"/>
    <w:rsid w:val="00AF035A"/>
    <w:rsid w:val="00AF789B"/>
    <w:rsid w:val="00BE2DBA"/>
    <w:rsid w:val="00C112F2"/>
    <w:rsid w:val="00D75C6C"/>
    <w:rsid w:val="00DD0250"/>
    <w:rsid w:val="00DF28BF"/>
    <w:rsid w:val="00EE4DEC"/>
    <w:rsid w:val="00F11141"/>
    <w:rsid w:val="00F66D43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EBBA"/>
  <w15:chartTrackingRefBased/>
  <w15:docId w15:val="{6DAF54A4-2873-407E-ACFB-E48A7BC5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A93"/>
    <w:pPr>
      <w:spacing w:after="0" w:line="240" w:lineRule="atLeast"/>
      <w:ind w:left="284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2A9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E2DBA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F035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chtlijnen.nhg.org/files/202011/Eindversie%20Kennisdocument%20Trombocytenaggregatieremmers_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Kaptein</dc:creator>
  <cp:keywords/>
  <dc:description/>
  <cp:lastModifiedBy>Karen Van Duijnhoven</cp:lastModifiedBy>
  <cp:revision>7</cp:revision>
  <dcterms:created xsi:type="dcterms:W3CDTF">2023-03-13T18:21:00Z</dcterms:created>
  <dcterms:modified xsi:type="dcterms:W3CDTF">2023-05-13T13:03:00Z</dcterms:modified>
</cp:coreProperties>
</file>