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856DD4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elraster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A92F57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873FA4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, aios</w:t>
            </w:r>
            <w:r w:rsidR="0096000C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1B685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E14E5A" w:rsidRPr="002C2897" w:rsidRDefault="00E14E5A" w:rsidP="00E14E5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Invullen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.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Vul dit formulier digitaal in, de invulvelden zijn grijs gemarkeerd.</w:t>
            </w:r>
          </w:p>
          <w:p w:rsidR="00E14E5A" w:rsidRPr="002C2897" w:rsidRDefault="00E14E5A" w:rsidP="00E14E5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Toelichten.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Geef bij ieder doel een toelichting bestaande uit tenminste steekwoorden zoals voldoende, behoeft aandacht, kost moeite.</w:t>
            </w:r>
          </w:p>
          <w:p w:rsidR="00A364D7" w:rsidRPr="00872F71" w:rsidRDefault="00E02190" w:rsidP="00A92F57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Bewaren</w:t>
            </w:r>
            <w:r w:rsidR="00E14E5A"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.</w:t>
            </w:r>
            <w:r w:rsidR="00E14E5A"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Nadat de tussenbeoordeling besproken is, scant de supervisant het formulier en plaatst dit in het e-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portolio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. Maak hiervoor een map Supervisie aan </w:t>
            </w:r>
            <w:r w:rsidR="00A92F5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onder ‘mijn mappen’</w:t>
            </w:r>
            <w:bookmarkStart w:id="1" w:name="_GoBack"/>
            <w:bookmarkEnd w:id="1"/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en geef het formulier een duidelijke naam.</w:t>
            </w:r>
          </w:p>
        </w:tc>
      </w:tr>
      <w:tr w:rsidR="0096000C" w:rsidRPr="00C66895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873FA4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96000C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bijgewoond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92F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A92F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gemist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92F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A92F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Aantal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inbrengen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2" w:name="Invuldatum"/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Pr="00A364D7" w:rsidRDefault="00B00F83" w:rsidP="00B00F83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A364D7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De aios heeft tijdens de supervisie blijk gegeven aan de volgende doelen te hebben gewerkt:</w:t>
      </w: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A92F57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1: Reflecteren over de eigen  persoon in relatie tot de sociale omgeving</w:t>
            </w:r>
          </w:p>
        </w:tc>
      </w:tr>
      <w:tr w:rsidR="00B00F83" w:rsidRPr="00A92F5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Eigen gedrag in een werksituatie concreet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hoe dit gedrag wordt beïnvloed door gevoelens, waarden, vooroordelen, kennis, ervaring en situatie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Zich open kunnen stellen voor nieuwe informatie en alternatieve zienswijzen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Vragen kunnen (laten) stellen die leiden tot verdieping van inzicht in het persoonlijk functioneren binnen de huisartsenrol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A92F5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A364D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Doel 2: </w:t>
            </w:r>
            <w:r w:rsidR="00A364D7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Inzicht hebben</w:t>
            </w: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of kunnen ontwikkelen in het effect van de eigen persoon op het werk</w:t>
            </w:r>
          </w:p>
        </w:tc>
      </w:tr>
      <w:tr w:rsidR="00B00F83" w:rsidRPr="00A92F5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Het eigen functioneren kunnen vergelijken met de algemene eisen die het beroep stelt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Feedback kunnen vragen en ontvangen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functioneren in de huisartsenrol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Komen tot inzicht in persoonlijke grenzen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Zicht krijgen op effect van het eigen gedrag op de ander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A92F5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3: Consequenties verbinden aan eigen mogelijkheden en beperkingen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Inzichten omzetten in professioneel handelen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Gedrag veranderen, experimenteren met gedragsalternatieven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Keuzes maken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Gegevenheden accepteren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stellingnames formuleren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A92F5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4: Sturing kunnen geven aan het eigen circulaire leerproces</w:t>
            </w:r>
          </w:p>
        </w:tc>
      </w:tr>
      <w:tr w:rsidR="00B00F83" w:rsidRPr="00A92F5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Zelfstandig het circulair leerproces kunnen doorlopen 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Aan kunnen geven hoe het eigen leerproces in gang kan worden gehouden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op welke punten verdere ontwikkeling in het werk van belang is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Opvattingen, beroeps- en of werkprincipes kunnen integreren die een verdere professionalisering als huisarts mogelijk maken 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B00F83" w:rsidRPr="00001A3C" w:rsidTr="00F263D4">
        <w:trPr>
          <w:trHeight w:val="39"/>
        </w:trPr>
        <w:tc>
          <w:tcPr>
            <w:tcW w:w="9484" w:type="dxa"/>
            <w:gridSpan w:val="2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Eindoordeel</w:t>
            </w:r>
          </w:p>
        </w:tc>
      </w:tr>
      <w:tr w:rsidR="00B00F83" w:rsidRPr="00001A3C" w:rsidTr="00F263D4">
        <w:tc>
          <w:tcPr>
            <w:tcW w:w="8066" w:type="dxa"/>
            <w:shd w:val="clear" w:color="auto" w:fill="FFFFFF" w:themeFill="background1"/>
            <w:vAlign w:val="center"/>
          </w:tcPr>
          <w:p w:rsidR="00001A3C" w:rsidRPr="00001A3C" w:rsidRDefault="00B00F83" w:rsidP="00001A3C">
            <w:pPr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De supervisant voldoet aan de doestellingen 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van de supervisie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.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</w:t>
            </w:r>
          </w:p>
          <w:p w:rsidR="00B00F83" w:rsidRPr="00001A3C" w:rsidRDefault="00001A3C" w:rsidP="00001A3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Licht s.v.p. een</w:t>
            </w:r>
            <w:r w:rsidR="001B685F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‘twijfel of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‘nee’ altijd toe.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0F83" w:rsidRPr="00001A3C" w:rsidRDefault="001B685F" w:rsidP="00856DD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  <w:listEntry w:val="Twijfel"/>
                  </w:ddList>
                </w:ffData>
              </w:fldChar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92F5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92F5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0F83" w:rsidRPr="00001A3C" w:rsidTr="00F263D4"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lastRenderedPageBreak/>
              <w:t>Handtekening supervisor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lastRenderedPageBreak/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lastRenderedPageBreak/>
              <w:t>Handtekening supervisant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001A3C" w:rsidRPr="00A364D7" w:rsidRDefault="00001A3C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001A3C" w:rsidRPr="00A364D7" w:rsidSect="00B8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57" w:rsidRDefault="00231757" w:rsidP="00B02968">
      <w:r>
        <w:separator/>
      </w:r>
    </w:p>
  </w:endnote>
  <w:endnote w:type="continuationSeparator" w:id="0">
    <w:p w:rsidR="00231757" w:rsidRDefault="00231757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A4" w:rsidRPr="00873FA4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proofErr w:type="spellStart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>Pagina</w:t>
    </w:r>
    <w:proofErr w:type="spellEnd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A92F57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A92F57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2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57" w:rsidRDefault="00231757" w:rsidP="00B02968">
      <w:r>
        <w:separator/>
      </w:r>
    </w:p>
  </w:footnote>
  <w:footnote w:type="continuationSeparator" w:id="0">
    <w:p w:rsidR="00231757" w:rsidRDefault="00231757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150E4" wp14:editId="3D0914E4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603947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58150E4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603947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3FA4">
      <w:rPr>
        <w:rFonts w:ascii="Lucida Sans Unicode" w:hAnsi="Lucida Sans Unicode" w:cs="Lucida Sans Unicode"/>
        <w:b/>
        <w:bCs/>
        <w:sz w:val="28"/>
        <w:szCs w:val="28"/>
        <w:lang w:val="nl-NL"/>
      </w:rPr>
      <w:t>Tussen</w:t>
    </w:r>
    <w:r w:rsidR="00304BF9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b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eoordeling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6B248A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Stand van zaken </w:t>
    </w:r>
    <w:r w:rsidR="00B85ABF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t.a.v. </w:t>
    </w: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>doelen uit de supervisienota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11081C"/>
    <w:rsid w:val="00114C5C"/>
    <w:rsid w:val="00133D27"/>
    <w:rsid w:val="00151F2D"/>
    <w:rsid w:val="001613CD"/>
    <w:rsid w:val="00183F89"/>
    <w:rsid w:val="001B1D74"/>
    <w:rsid w:val="001B4EA0"/>
    <w:rsid w:val="001B685F"/>
    <w:rsid w:val="00216D76"/>
    <w:rsid w:val="00217795"/>
    <w:rsid w:val="00222106"/>
    <w:rsid w:val="00223D07"/>
    <w:rsid w:val="002309F9"/>
    <w:rsid w:val="00231757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24DBE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A4FA3"/>
    <w:rsid w:val="004C0B07"/>
    <w:rsid w:val="004D0D59"/>
    <w:rsid w:val="005039FB"/>
    <w:rsid w:val="00513E41"/>
    <w:rsid w:val="005842DE"/>
    <w:rsid w:val="0059792B"/>
    <w:rsid w:val="005B56A8"/>
    <w:rsid w:val="00603947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92E24"/>
    <w:rsid w:val="007B4885"/>
    <w:rsid w:val="007F40F9"/>
    <w:rsid w:val="008145AB"/>
    <w:rsid w:val="00843B24"/>
    <w:rsid w:val="00856DD4"/>
    <w:rsid w:val="00873FA4"/>
    <w:rsid w:val="008C3368"/>
    <w:rsid w:val="008E39FA"/>
    <w:rsid w:val="008E60D4"/>
    <w:rsid w:val="0095458D"/>
    <w:rsid w:val="0096000C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70DE8"/>
    <w:rsid w:val="00A92F57"/>
    <w:rsid w:val="00A93FDC"/>
    <w:rsid w:val="00AE02FD"/>
    <w:rsid w:val="00AE4778"/>
    <w:rsid w:val="00AE6121"/>
    <w:rsid w:val="00B00F83"/>
    <w:rsid w:val="00B02968"/>
    <w:rsid w:val="00B05EA1"/>
    <w:rsid w:val="00B06526"/>
    <w:rsid w:val="00B3694E"/>
    <w:rsid w:val="00B412EE"/>
    <w:rsid w:val="00B85ABF"/>
    <w:rsid w:val="00BB05FD"/>
    <w:rsid w:val="00BF4E71"/>
    <w:rsid w:val="00C01215"/>
    <w:rsid w:val="00C121DF"/>
    <w:rsid w:val="00C22C44"/>
    <w:rsid w:val="00C348F0"/>
    <w:rsid w:val="00C60CFF"/>
    <w:rsid w:val="00C63A42"/>
    <w:rsid w:val="00C66895"/>
    <w:rsid w:val="00C94B4C"/>
    <w:rsid w:val="00CA4BA3"/>
    <w:rsid w:val="00CB777A"/>
    <w:rsid w:val="00CC52A1"/>
    <w:rsid w:val="00CC6562"/>
    <w:rsid w:val="00D002EC"/>
    <w:rsid w:val="00D02659"/>
    <w:rsid w:val="00D347E3"/>
    <w:rsid w:val="00D63AC2"/>
    <w:rsid w:val="00D6570C"/>
    <w:rsid w:val="00D879E4"/>
    <w:rsid w:val="00DB70E5"/>
    <w:rsid w:val="00DC2385"/>
    <w:rsid w:val="00DD5D6C"/>
    <w:rsid w:val="00E02190"/>
    <w:rsid w:val="00E12297"/>
    <w:rsid w:val="00E1253D"/>
    <w:rsid w:val="00E14E5A"/>
    <w:rsid w:val="00E3125A"/>
    <w:rsid w:val="00E34630"/>
    <w:rsid w:val="00E52BEC"/>
    <w:rsid w:val="00E86AEA"/>
    <w:rsid w:val="00ED6BA8"/>
    <w:rsid w:val="00EE7588"/>
    <w:rsid w:val="00EF6E75"/>
    <w:rsid w:val="00F33A1B"/>
    <w:rsid w:val="00F57C32"/>
    <w:rsid w:val="00F6042C"/>
    <w:rsid w:val="00F7406D"/>
    <w:rsid w:val="00F774F7"/>
    <w:rsid w:val="00F94553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A8AD26"/>
  <w14:defaultImageDpi w14:val="330"/>
  <w15:docId w15:val="{B13DB898-433D-43F6-8146-37B5632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F29B1-3A7A-4D69-B014-56233A52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3</cp:revision>
  <cp:lastPrinted>2015-03-18T16:51:00Z</cp:lastPrinted>
  <dcterms:created xsi:type="dcterms:W3CDTF">2021-02-17T14:09:00Z</dcterms:created>
  <dcterms:modified xsi:type="dcterms:W3CDTF">2021-02-17T14:21:00Z</dcterms:modified>
</cp:coreProperties>
</file>