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A937" w14:textId="3FE20CFC" w:rsidR="00736A7F" w:rsidRPr="00736A7F" w:rsidRDefault="00736A7F">
      <w:pPr>
        <w:rPr>
          <w:b/>
          <w:bCs/>
          <w:sz w:val="28"/>
          <w:szCs w:val="28"/>
        </w:rPr>
      </w:pPr>
      <w:r>
        <w:rPr>
          <w:b/>
          <w:bCs/>
          <w:sz w:val="28"/>
          <w:szCs w:val="28"/>
        </w:rPr>
        <w:t>Stimuleren van inbreng</w:t>
      </w:r>
      <w:r w:rsidRPr="00736A7F">
        <w:rPr>
          <w:b/>
          <w:bCs/>
          <w:sz w:val="28"/>
          <w:szCs w:val="28"/>
        </w:rPr>
        <w:t xml:space="preserve"> bij </w:t>
      </w:r>
      <w:r w:rsidR="00BB7E6D">
        <w:rPr>
          <w:b/>
          <w:bCs/>
          <w:sz w:val="28"/>
          <w:szCs w:val="28"/>
        </w:rPr>
        <w:t>reflectie</w:t>
      </w:r>
      <w:r w:rsidRPr="00736A7F">
        <w:rPr>
          <w:b/>
          <w:bCs/>
          <w:sz w:val="28"/>
          <w:szCs w:val="28"/>
        </w:rPr>
        <w:t xml:space="preserve"> </w:t>
      </w:r>
    </w:p>
    <w:p w14:paraId="1A55562B" w14:textId="1F05484E" w:rsidR="00736A7F" w:rsidRDefault="00736A7F">
      <w:r>
        <w:t>Een tip, geformuleerd door Marije ter Braak, naar aanleiding van haar onderzoek is:</w:t>
      </w:r>
    </w:p>
    <w:p w14:paraId="1F805AD8" w14:textId="77777777" w:rsidR="00736A7F" w:rsidRDefault="00736A7F" w:rsidP="00736A7F">
      <w:pPr>
        <w:spacing w:after="0"/>
      </w:pPr>
      <w:r w:rsidRPr="00736A7F">
        <w:rPr>
          <w:i/>
          <w:iCs/>
        </w:rPr>
        <w:t>Gebruik verschillende manieren om inbreng te stimuleren als niemand inbreng heeft</w:t>
      </w:r>
      <w:r>
        <w:t xml:space="preserve">. </w:t>
      </w:r>
    </w:p>
    <w:p w14:paraId="1A29E5B4" w14:textId="77777777" w:rsidR="00736A7F" w:rsidRDefault="00736A7F" w:rsidP="00736A7F">
      <w:pPr>
        <w:spacing w:after="0"/>
      </w:pPr>
      <w:r>
        <w:t>Voorbeelden daarvan zijn een lijstje met bijvoeglijk naamwoorden (spectaculair, deprimerend, intensief, heftig, vlekkeloos, inspirerend, moedgevend) waarbij haios een casus kunnen zoeken, een bepaald type patiënt, de mogelijkheid om in tweetallen even vijf minuten te sparren over de afgelopen week, etc.</w:t>
      </w:r>
    </w:p>
    <w:p w14:paraId="46AC1EEC" w14:textId="070938B3" w:rsidR="00736A7F" w:rsidRDefault="00736A7F" w:rsidP="00400CC2">
      <w:pPr>
        <w:spacing w:after="0"/>
      </w:pPr>
    </w:p>
    <w:p w14:paraId="07D0D1FE" w14:textId="7A9586B9" w:rsidR="00736A7F" w:rsidRDefault="00736A7F" w:rsidP="00400CC2">
      <w:pPr>
        <w:spacing w:after="0"/>
      </w:pPr>
      <w:r>
        <w:t>De hierboven gegeven opsomming van  bijvoeglijke naamwoorden is op de volgende pagina aangevuld.</w:t>
      </w:r>
    </w:p>
    <w:p w14:paraId="107BADEA" w14:textId="77777777" w:rsidR="00400CC2" w:rsidRDefault="00400CC2" w:rsidP="00400CC2">
      <w:pPr>
        <w:spacing w:after="0"/>
      </w:pPr>
    </w:p>
    <w:p w14:paraId="5DD9D032" w14:textId="3471E56F" w:rsidR="00736A7F" w:rsidRPr="00400CC2" w:rsidRDefault="00736A7F" w:rsidP="00400CC2">
      <w:pPr>
        <w:spacing w:after="0"/>
        <w:rPr>
          <w:sz w:val="28"/>
          <w:szCs w:val="28"/>
        </w:rPr>
      </w:pPr>
      <w:r w:rsidRPr="00400CC2">
        <w:rPr>
          <w:sz w:val="28"/>
          <w:szCs w:val="28"/>
        </w:rPr>
        <w:t>Toepassing:</w:t>
      </w:r>
    </w:p>
    <w:p w14:paraId="07634E0B" w14:textId="20B720BD" w:rsidR="00400CC2" w:rsidRDefault="00736A7F" w:rsidP="00400CC2">
      <w:pPr>
        <w:pStyle w:val="Lijstalinea"/>
        <w:numPr>
          <w:ilvl w:val="0"/>
          <w:numId w:val="2"/>
        </w:numPr>
        <w:spacing w:after="0"/>
      </w:pPr>
      <w:r>
        <w:t xml:space="preserve">De docent kan </w:t>
      </w:r>
      <w:r w:rsidR="00400CC2">
        <w:t xml:space="preserve">zelf </w:t>
      </w:r>
      <w:r w:rsidR="00D7754F">
        <w:t>een woord</w:t>
      </w:r>
      <w:r w:rsidR="00400CC2">
        <w:t xml:space="preserve"> kiezen.</w:t>
      </w:r>
    </w:p>
    <w:p w14:paraId="1A2741D6" w14:textId="2C6FA71D" w:rsidR="00D7754F" w:rsidRDefault="00D7754F" w:rsidP="00D7754F">
      <w:pPr>
        <w:pStyle w:val="Lijstalinea"/>
        <w:numPr>
          <w:ilvl w:val="0"/>
          <w:numId w:val="2"/>
        </w:numPr>
        <w:spacing w:after="0"/>
      </w:pPr>
      <w:r>
        <w:t>De docent kan aios laten kiezen.</w:t>
      </w:r>
    </w:p>
    <w:p w14:paraId="4B381108" w14:textId="0079E155" w:rsidR="00736A7F" w:rsidRDefault="00400CC2" w:rsidP="00400CC2">
      <w:pPr>
        <w:pStyle w:val="Lijstalinea"/>
        <w:numPr>
          <w:ilvl w:val="0"/>
          <w:numId w:val="2"/>
        </w:numPr>
        <w:spacing w:after="0"/>
      </w:pPr>
      <w:r>
        <w:t>De docent kan</w:t>
      </w:r>
      <w:r w:rsidR="00736A7F">
        <w:t xml:space="preserve"> de woorden uitknippen</w:t>
      </w:r>
      <w:r>
        <w:t xml:space="preserve"> en </w:t>
      </w:r>
      <w:r w:rsidR="00D7754F">
        <w:t xml:space="preserve">een woord (door </w:t>
      </w:r>
      <w:r>
        <w:t>de aios laten</w:t>
      </w:r>
      <w:r w:rsidR="00D7754F">
        <w:t>)</w:t>
      </w:r>
      <w:r>
        <w:t xml:space="preserve"> trekken.</w:t>
      </w:r>
    </w:p>
    <w:p w14:paraId="5B1A925B" w14:textId="3E990B0C" w:rsidR="00736A7F" w:rsidRDefault="00736A7F"/>
    <w:p w14:paraId="1049AD38" w14:textId="4C6E7E7A" w:rsidR="00400CC2" w:rsidRDefault="00400CC2">
      <w:r>
        <w:t xml:space="preserve">De woorden zijn onderverdeeld in positieve en negatieve termen. Er kan een bewuste keuze voor één van de twee worden gemaakt. Er kan </w:t>
      </w:r>
      <w:r w:rsidR="00311E29">
        <w:t xml:space="preserve">ook </w:t>
      </w:r>
      <w:r>
        <w:t xml:space="preserve">voor worden gekozen om uit beide rijtjes </w:t>
      </w:r>
      <w:r w:rsidR="00311E29">
        <w:t>één woord te kiezen.</w:t>
      </w:r>
    </w:p>
    <w:p w14:paraId="7398CFCC" w14:textId="77777777" w:rsidR="00D7754F" w:rsidRDefault="00D7754F"/>
    <w:p w14:paraId="173CECCB" w14:textId="01F1F2A4" w:rsidR="00D7754F" w:rsidRPr="00846D36" w:rsidRDefault="00D7754F" w:rsidP="00D7754F">
      <w:pPr>
        <w:spacing w:after="0"/>
      </w:pPr>
      <w:r>
        <w:t xml:space="preserve">Bron: </w:t>
      </w:r>
      <w:r w:rsidRPr="00846D36">
        <w:rPr>
          <w:rFonts w:ascii="Source Sans Pro" w:hAnsi="Source Sans Pro"/>
          <w:sz w:val="21"/>
          <w:szCs w:val="21"/>
          <w:shd w:val="clear" w:color="auto" w:fill="F5F5F5"/>
        </w:rPr>
        <w:t>van Braak, M. (2021, November 30). </w:t>
      </w:r>
      <w:r w:rsidRPr="00846D36">
        <w:rPr>
          <w:rStyle w:val="Nadruk"/>
          <w:rFonts w:ascii="Source Sans Pro" w:hAnsi="Source Sans Pro"/>
          <w:sz w:val="21"/>
          <w:szCs w:val="21"/>
          <w:shd w:val="clear" w:color="auto" w:fill="F5F5F5"/>
        </w:rPr>
        <w:t>Joint construction of educational value: learning from experiences in general practitioner training</w:t>
      </w:r>
      <w:r w:rsidRPr="00846D36">
        <w:rPr>
          <w:rFonts w:ascii="Source Sans Pro" w:hAnsi="Source Sans Pro"/>
          <w:sz w:val="21"/>
          <w:szCs w:val="21"/>
          <w:shd w:val="clear" w:color="auto" w:fill="F5F5F5"/>
        </w:rPr>
        <w:t xml:space="preserve">. Erasmus University Rotterdam. Retrieved from </w:t>
      </w:r>
      <w:hyperlink r:id="rId5" w:history="1">
        <w:r w:rsidRPr="00846D36">
          <w:rPr>
            <w:rStyle w:val="Hyperlink"/>
            <w:rFonts w:ascii="Source Sans Pro" w:hAnsi="Source Sans Pro"/>
            <w:color w:val="auto"/>
            <w:sz w:val="21"/>
            <w:szCs w:val="21"/>
            <w:shd w:val="clear" w:color="auto" w:fill="F5F5F5"/>
          </w:rPr>
          <w:t>http://hdl.handle.net/1765/137014</w:t>
        </w:r>
      </w:hyperlink>
      <w:r w:rsidRPr="00846D36">
        <w:rPr>
          <w:rFonts w:ascii="Source Sans Pro" w:hAnsi="Source Sans Pro"/>
          <w:sz w:val="21"/>
          <w:szCs w:val="21"/>
          <w:shd w:val="clear" w:color="auto" w:fill="F5F5F5"/>
        </w:rPr>
        <w:t xml:space="preserve"> </w:t>
      </w:r>
    </w:p>
    <w:p w14:paraId="7F5AF778" w14:textId="1754DE39" w:rsidR="00311E29" w:rsidRDefault="00311E29">
      <w:r>
        <w:br w:type="page"/>
      </w:r>
    </w:p>
    <w:tbl>
      <w:tblPr>
        <w:tblStyle w:val="Tabelraster"/>
        <w:tblW w:w="0" w:type="auto"/>
        <w:tblLook w:val="04A0" w:firstRow="1" w:lastRow="0" w:firstColumn="1" w:lastColumn="0" w:noHBand="0" w:noVBand="1"/>
      </w:tblPr>
      <w:tblGrid>
        <w:gridCol w:w="4531"/>
        <w:gridCol w:w="4531"/>
      </w:tblGrid>
      <w:tr w:rsidR="00400CC2" w:rsidRPr="00400CC2" w14:paraId="6A766B57" w14:textId="77777777" w:rsidTr="00400CC2">
        <w:tc>
          <w:tcPr>
            <w:tcW w:w="4531" w:type="dxa"/>
          </w:tcPr>
          <w:p w14:paraId="2A2CF5FA" w14:textId="2768ED0E" w:rsidR="00311E29" w:rsidRDefault="00311E29" w:rsidP="00400CC2">
            <w:pPr>
              <w:rPr>
                <w:sz w:val="36"/>
                <w:szCs w:val="36"/>
              </w:rPr>
            </w:pPr>
          </w:p>
          <w:p w14:paraId="42612E82" w14:textId="45F6DA99" w:rsidR="00400CC2" w:rsidRPr="00400CC2" w:rsidRDefault="00400CC2" w:rsidP="00400CC2">
            <w:pPr>
              <w:rPr>
                <w:sz w:val="36"/>
                <w:szCs w:val="36"/>
              </w:rPr>
            </w:pPr>
            <w:r w:rsidRPr="00400CC2">
              <w:rPr>
                <w:sz w:val="36"/>
                <w:szCs w:val="36"/>
              </w:rPr>
              <w:t>Spectaculair</w:t>
            </w:r>
          </w:p>
          <w:p w14:paraId="66BA4598" w14:textId="77777777" w:rsidR="00400CC2" w:rsidRPr="00400CC2" w:rsidRDefault="00400CC2">
            <w:pPr>
              <w:rPr>
                <w:sz w:val="36"/>
                <w:szCs w:val="36"/>
              </w:rPr>
            </w:pPr>
          </w:p>
        </w:tc>
        <w:tc>
          <w:tcPr>
            <w:tcW w:w="4531" w:type="dxa"/>
          </w:tcPr>
          <w:p w14:paraId="0A3617B4" w14:textId="77777777" w:rsidR="00311E29" w:rsidRDefault="00311E29" w:rsidP="00400CC2">
            <w:pPr>
              <w:rPr>
                <w:sz w:val="36"/>
                <w:szCs w:val="36"/>
              </w:rPr>
            </w:pPr>
          </w:p>
          <w:p w14:paraId="7372A88A" w14:textId="19E53BDC" w:rsidR="00400CC2" w:rsidRPr="00400CC2" w:rsidRDefault="00400CC2" w:rsidP="00400CC2">
            <w:pPr>
              <w:rPr>
                <w:sz w:val="36"/>
                <w:szCs w:val="36"/>
              </w:rPr>
            </w:pPr>
            <w:r w:rsidRPr="00400CC2">
              <w:rPr>
                <w:sz w:val="36"/>
                <w:szCs w:val="36"/>
              </w:rPr>
              <w:t>Deprimerend</w:t>
            </w:r>
            <w:r>
              <w:rPr>
                <w:sz w:val="36"/>
                <w:szCs w:val="36"/>
              </w:rPr>
              <w:t xml:space="preserve"> </w:t>
            </w:r>
            <w:r w:rsidRPr="00400CC2">
              <w:rPr>
                <w:sz w:val="36"/>
                <w:szCs w:val="36"/>
              </w:rPr>
              <w:t xml:space="preserve"> </w:t>
            </w:r>
          </w:p>
          <w:p w14:paraId="130CBB34" w14:textId="77777777" w:rsidR="00400CC2" w:rsidRPr="00400CC2" w:rsidRDefault="00400CC2">
            <w:pPr>
              <w:rPr>
                <w:sz w:val="36"/>
                <w:szCs w:val="36"/>
              </w:rPr>
            </w:pPr>
          </w:p>
        </w:tc>
      </w:tr>
      <w:tr w:rsidR="00400CC2" w:rsidRPr="00400CC2" w14:paraId="235C58F7" w14:textId="77777777" w:rsidTr="00400CC2">
        <w:tc>
          <w:tcPr>
            <w:tcW w:w="4531" w:type="dxa"/>
          </w:tcPr>
          <w:p w14:paraId="79FFB0E5" w14:textId="77777777" w:rsidR="00311E29" w:rsidRDefault="00311E29" w:rsidP="00400CC2">
            <w:pPr>
              <w:rPr>
                <w:sz w:val="36"/>
                <w:szCs w:val="36"/>
              </w:rPr>
            </w:pPr>
          </w:p>
          <w:p w14:paraId="21241078" w14:textId="58381162" w:rsidR="00400CC2" w:rsidRPr="00400CC2" w:rsidRDefault="00400CC2" w:rsidP="00400CC2">
            <w:pPr>
              <w:rPr>
                <w:sz w:val="36"/>
                <w:szCs w:val="36"/>
              </w:rPr>
            </w:pPr>
            <w:r w:rsidRPr="00400CC2">
              <w:rPr>
                <w:sz w:val="36"/>
                <w:szCs w:val="36"/>
              </w:rPr>
              <w:t>Vlekkeloos</w:t>
            </w:r>
            <w:r>
              <w:rPr>
                <w:sz w:val="36"/>
                <w:szCs w:val="36"/>
              </w:rPr>
              <w:t xml:space="preserve"> </w:t>
            </w:r>
            <w:r w:rsidRPr="00400CC2">
              <w:rPr>
                <w:sz w:val="36"/>
                <w:szCs w:val="36"/>
              </w:rPr>
              <w:t xml:space="preserve"> </w:t>
            </w:r>
            <w:r>
              <w:rPr>
                <w:sz w:val="36"/>
                <w:szCs w:val="36"/>
              </w:rPr>
              <w:t xml:space="preserve"> </w:t>
            </w:r>
          </w:p>
          <w:p w14:paraId="5C00E450" w14:textId="77777777" w:rsidR="00400CC2" w:rsidRPr="00400CC2" w:rsidRDefault="00400CC2">
            <w:pPr>
              <w:rPr>
                <w:sz w:val="36"/>
                <w:szCs w:val="36"/>
              </w:rPr>
            </w:pPr>
          </w:p>
        </w:tc>
        <w:tc>
          <w:tcPr>
            <w:tcW w:w="4531" w:type="dxa"/>
          </w:tcPr>
          <w:p w14:paraId="5C409CB0" w14:textId="77777777" w:rsidR="00311E29" w:rsidRDefault="00311E29" w:rsidP="00400CC2">
            <w:pPr>
              <w:rPr>
                <w:sz w:val="36"/>
                <w:szCs w:val="36"/>
              </w:rPr>
            </w:pPr>
          </w:p>
          <w:p w14:paraId="19ECEAEB" w14:textId="6132284B" w:rsidR="00400CC2" w:rsidRPr="00400CC2" w:rsidRDefault="00400CC2" w:rsidP="00400CC2">
            <w:pPr>
              <w:rPr>
                <w:sz w:val="36"/>
                <w:szCs w:val="36"/>
              </w:rPr>
            </w:pPr>
            <w:r w:rsidRPr="00400CC2">
              <w:rPr>
                <w:sz w:val="36"/>
                <w:szCs w:val="36"/>
              </w:rPr>
              <w:t>Intensief</w:t>
            </w:r>
            <w:r>
              <w:rPr>
                <w:sz w:val="36"/>
                <w:szCs w:val="36"/>
              </w:rPr>
              <w:t xml:space="preserve"> </w:t>
            </w:r>
          </w:p>
          <w:p w14:paraId="2943A6A2" w14:textId="77777777" w:rsidR="00400CC2" w:rsidRPr="00400CC2" w:rsidRDefault="00400CC2">
            <w:pPr>
              <w:rPr>
                <w:sz w:val="36"/>
                <w:szCs w:val="36"/>
              </w:rPr>
            </w:pPr>
          </w:p>
        </w:tc>
      </w:tr>
      <w:tr w:rsidR="00400CC2" w:rsidRPr="00400CC2" w14:paraId="08E5D242" w14:textId="77777777" w:rsidTr="00400CC2">
        <w:tc>
          <w:tcPr>
            <w:tcW w:w="4531" w:type="dxa"/>
          </w:tcPr>
          <w:p w14:paraId="50A176A5" w14:textId="77777777" w:rsidR="00311E29" w:rsidRDefault="00311E29">
            <w:pPr>
              <w:rPr>
                <w:sz w:val="36"/>
                <w:szCs w:val="36"/>
              </w:rPr>
            </w:pPr>
          </w:p>
          <w:p w14:paraId="1ABD1DDA" w14:textId="77777777" w:rsidR="00400CC2" w:rsidRDefault="00400CC2">
            <w:pPr>
              <w:rPr>
                <w:sz w:val="36"/>
                <w:szCs w:val="36"/>
              </w:rPr>
            </w:pPr>
            <w:r w:rsidRPr="00400CC2">
              <w:rPr>
                <w:sz w:val="36"/>
                <w:szCs w:val="36"/>
              </w:rPr>
              <w:t>Inspirerend</w:t>
            </w:r>
            <w:r>
              <w:rPr>
                <w:sz w:val="36"/>
                <w:szCs w:val="36"/>
              </w:rPr>
              <w:t xml:space="preserve"> </w:t>
            </w:r>
          </w:p>
          <w:p w14:paraId="28CDB37B" w14:textId="5D51808A" w:rsidR="00311E29" w:rsidRPr="00400CC2" w:rsidRDefault="00311E29">
            <w:pPr>
              <w:rPr>
                <w:sz w:val="36"/>
                <w:szCs w:val="36"/>
              </w:rPr>
            </w:pPr>
          </w:p>
        </w:tc>
        <w:tc>
          <w:tcPr>
            <w:tcW w:w="4531" w:type="dxa"/>
          </w:tcPr>
          <w:p w14:paraId="7B3A6C73" w14:textId="77777777" w:rsidR="00311E29" w:rsidRDefault="00311E29" w:rsidP="00400CC2">
            <w:pPr>
              <w:rPr>
                <w:sz w:val="36"/>
                <w:szCs w:val="36"/>
              </w:rPr>
            </w:pPr>
          </w:p>
          <w:p w14:paraId="75728BD5" w14:textId="642F075D" w:rsidR="00400CC2" w:rsidRPr="00400CC2" w:rsidRDefault="00400CC2" w:rsidP="00400CC2">
            <w:pPr>
              <w:rPr>
                <w:sz w:val="36"/>
                <w:szCs w:val="36"/>
              </w:rPr>
            </w:pPr>
            <w:r w:rsidRPr="00400CC2">
              <w:rPr>
                <w:sz w:val="36"/>
                <w:szCs w:val="36"/>
              </w:rPr>
              <w:t>Heftig</w:t>
            </w:r>
            <w:r>
              <w:rPr>
                <w:sz w:val="36"/>
                <w:szCs w:val="36"/>
              </w:rPr>
              <w:t xml:space="preserve"> </w:t>
            </w:r>
          </w:p>
          <w:p w14:paraId="766B2E8D" w14:textId="77777777" w:rsidR="00400CC2" w:rsidRPr="00400CC2" w:rsidRDefault="00400CC2">
            <w:pPr>
              <w:rPr>
                <w:sz w:val="36"/>
                <w:szCs w:val="36"/>
              </w:rPr>
            </w:pPr>
          </w:p>
        </w:tc>
      </w:tr>
      <w:tr w:rsidR="00400CC2" w:rsidRPr="00400CC2" w14:paraId="36C9CEAC" w14:textId="77777777" w:rsidTr="00400CC2">
        <w:tc>
          <w:tcPr>
            <w:tcW w:w="4531" w:type="dxa"/>
          </w:tcPr>
          <w:p w14:paraId="65F2A7BA" w14:textId="77777777" w:rsidR="00311E29" w:rsidRDefault="00311E29" w:rsidP="00400CC2">
            <w:pPr>
              <w:rPr>
                <w:sz w:val="36"/>
                <w:szCs w:val="36"/>
              </w:rPr>
            </w:pPr>
          </w:p>
          <w:p w14:paraId="18A4370C" w14:textId="0B5F66AD" w:rsidR="00400CC2" w:rsidRPr="00400CC2" w:rsidRDefault="00400CC2" w:rsidP="00400CC2">
            <w:pPr>
              <w:rPr>
                <w:sz w:val="36"/>
                <w:szCs w:val="36"/>
              </w:rPr>
            </w:pPr>
            <w:r w:rsidRPr="00400CC2">
              <w:rPr>
                <w:sz w:val="36"/>
                <w:szCs w:val="36"/>
              </w:rPr>
              <w:t>Moedgevend</w:t>
            </w:r>
            <w:r>
              <w:rPr>
                <w:sz w:val="36"/>
                <w:szCs w:val="36"/>
              </w:rPr>
              <w:t xml:space="preserve"> </w:t>
            </w:r>
          </w:p>
          <w:p w14:paraId="73BFEB57" w14:textId="77777777" w:rsidR="00400CC2" w:rsidRPr="00400CC2" w:rsidRDefault="00400CC2">
            <w:pPr>
              <w:rPr>
                <w:sz w:val="36"/>
                <w:szCs w:val="36"/>
              </w:rPr>
            </w:pPr>
          </w:p>
        </w:tc>
        <w:tc>
          <w:tcPr>
            <w:tcW w:w="4531" w:type="dxa"/>
          </w:tcPr>
          <w:p w14:paraId="52CB4CAA" w14:textId="77777777" w:rsidR="00311E29" w:rsidRDefault="00311E29">
            <w:pPr>
              <w:rPr>
                <w:sz w:val="36"/>
                <w:szCs w:val="36"/>
              </w:rPr>
            </w:pPr>
          </w:p>
          <w:p w14:paraId="24B45FBE" w14:textId="29198335" w:rsidR="00400CC2" w:rsidRPr="00400CC2" w:rsidRDefault="00400CC2">
            <w:pPr>
              <w:rPr>
                <w:sz w:val="36"/>
                <w:szCs w:val="36"/>
              </w:rPr>
            </w:pPr>
            <w:r>
              <w:rPr>
                <w:sz w:val="36"/>
                <w:szCs w:val="36"/>
              </w:rPr>
              <w:t>Irritant</w:t>
            </w:r>
          </w:p>
        </w:tc>
      </w:tr>
      <w:tr w:rsidR="00400CC2" w:rsidRPr="00400CC2" w14:paraId="7BBBFD86" w14:textId="77777777" w:rsidTr="00400CC2">
        <w:tc>
          <w:tcPr>
            <w:tcW w:w="4531" w:type="dxa"/>
          </w:tcPr>
          <w:p w14:paraId="742DFCFC" w14:textId="77777777" w:rsidR="00311E29" w:rsidRDefault="00311E29">
            <w:pPr>
              <w:rPr>
                <w:sz w:val="36"/>
                <w:szCs w:val="36"/>
              </w:rPr>
            </w:pPr>
          </w:p>
          <w:p w14:paraId="3379D473" w14:textId="5C48E960" w:rsidR="00400CC2" w:rsidRDefault="00400CC2">
            <w:pPr>
              <w:rPr>
                <w:sz w:val="36"/>
                <w:szCs w:val="36"/>
              </w:rPr>
            </w:pPr>
            <w:r>
              <w:rPr>
                <w:sz w:val="36"/>
                <w:szCs w:val="36"/>
              </w:rPr>
              <w:t>Grappig</w:t>
            </w:r>
          </w:p>
          <w:p w14:paraId="770A5D5F" w14:textId="1A4DBDDF" w:rsidR="00400CC2" w:rsidRPr="00400CC2" w:rsidRDefault="00400CC2">
            <w:pPr>
              <w:rPr>
                <w:sz w:val="36"/>
                <w:szCs w:val="36"/>
              </w:rPr>
            </w:pPr>
          </w:p>
        </w:tc>
        <w:tc>
          <w:tcPr>
            <w:tcW w:w="4531" w:type="dxa"/>
          </w:tcPr>
          <w:p w14:paraId="342670E9" w14:textId="77777777" w:rsidR="00400CC2" w:rsidRDefault="00400CC2">
            <w:pPr>
              <w:rPr>
                <w:sz w:val="36"/>
                <w:szCs w:val="36"/>
              </w:rPr>
            </w:pPr>
          </w:p>
          <w:p w14:paraId="63ACEAE3" w14:textId="39CEEF65" w:rsidR="00311E29" w:rsidRPr="00400CC2" w:rsidRDefault="00311E29">
            <w:pPr>
              <w:rPr>
                <w:sz w:val="36"/>
                <w:szCs w:val="36"/>
              </w:rPr>
            </w:pPr>
            <w:r>
              <w:rPr>
                <w:sz w:val="36"/>
                <w:szCs w:val="36"/>
              </w:rPr>
              <w:t xml:space="preserve">Vermoeiend </w:t>
            </w:r>
          </w:p>
        </w:tc>
      </w:tr>
      <w:tr w:rsidR="00400CC2" w:rsidRPr="00400CC2" w14:paraId="16A1BC48" w14:textId="77777777" w:rsidTr="00400CC2">
        <w:tc>
          <w:tcPr>
            <w:tcW w:w="4531" w:type="dxa"/>
          </w:tcPr>
          <w:p w14:paraId="1305AF98" w14:textId="77777777" w:rsidR="00400CC2" w:rsidRDefault="00400CC2">
            <w:pPr>
              <w:rPr>
                <w:sz w:val="36"/>
                <w:szCs w:val="36"/>
              </w:rPr>
            </w:pPr>
          </w:p>
          <w:p w14:paraId="7084F82A" w14:textId="3492C15C" w:rsidR="00311E29" w:rsidRDefault="00311E29">
            <w:pPr>
              <w:rPr>
                <w:sz w:val="36"/>
                <w:szCs w:val="36"/>
              </w:rPr>
            </w:pPr>
            <w:r>
              <w:rPr>
                <w:sz w:val="36"/>
                <w:szCs w:val="36"/>
              </w:rPr>
              <w:t xml:space="preserve">Bevestigend </w:t>
            </w:r>
          </w:p>
          <w:p w14:paraId="75F9EF91" w14:textId="5C2E1FC0" w:rsidR="00311E29" w:rsidRPr="00400CC2" w:rsidRDefault="00311E29">
            <w:pPr>
              <w:rPr>
                <w:sz w:val="36"/>
                <w:szCs w:val="36"/>
              </w:rPr>
            </w:pPr>
          </w:p>
        </w:tc>
        <w:tc>
          <w:tcPr>
            <w:tcW w:w="4531" w:type="dxa"/>
          </w:tcPr>
          <w:p w14:paraId="41B777C7" w14:textId="77777777" w:rsidR="00400CC2" w:rsidRDefault="00400CC2">
            <w:pPr>
              <w:rPr>
                <w:sz w:val="36"/>
                <w:szCs w:val="36"/>
              </w:rPr>
            </w:pPr>
          </w:p>
          <w:p w14:paraId="1068917A" w14:textId="474F2CF2" w:rsidR="00311E29" w:rsidRPr="00400CC2" w:rsidRDefault="00311E29">
            <w:pPr>
              <w:rPr>
                <w:sz w:val="36"/>
                <w:szCs w:val="36"/>
              </w:rPr>
            </w:pPr>
            <w:r>
              <w:rPr>
                <w:sz w:val="36"/>
                <w:szCs w:val="36"/>
              </w:rPr>
              <w:t xml:space="preserve">Zorgwekkend </w:t>
            </w:r>
          </w:p>
        </w:tc>
      </w:tr>
      <w:tr w:rsidR="00400CC2" w:rsidRPr="00400CC2" w14:paraId="1CDA5C4E" w14:textId="77777777" w:rsidTr="00400CC2">
        <w:tc>
          <w:tcPr>
            <w:tcW w:w="4531" w:type="dxa"/>
          </w:tcPr>
          <w:p w14:paraId="07563463" w14:textId="77777777" w:rsidR="00400CC2" w:rsidRDefault="00400CC2">
            <w:pPr>
              <w:rPr>
                <w:sz w:val="36"/>
                <w:szCs w:val="36"/>
              </w:rPr>
            </w:pPr>
          </w:p>
          <w:p w14:paraId="3B87B0BE" w14:textId="10272200" w:rsidR="00311E29" w:rsidRDefault="00311E29">
            <w:pPr>
              <w:rPr>
                <w:sz w:val="36"/>
                <w:szCs w:val="36"/>
              </w:rPr>
            </w:pPr>
            <w:r>
              <w:rPr>
                <w:sz w:val="36"/>
                <w:szCs w:val="36"/>
              </w:rPr>
              <w:t xml:space="preserve">Vertrouwenwekkend </w:t>
            </w:r>
          </w:p>
          <w:p w14:paraId="55C0CA28" w14:textId="1124601B" w:rsidR="00311E29" w:rsidRPr="00400CC2" w:rsidRDefault="00311E29">
            <w:pPr>
              <w:rPr>
                <w:sz w:val="36"/>
                <w:szCs w:val="36"/>
              </w:rPr>
            </w:pPr>
          </w:p>
        </w:tc>
        <w:tc>
          <w:tcPr>
            <w:tcW w:w="4531" w:type="dxa"/>
          </w:tcPr>
          <w:p w14:paraId="0C1FC557" w14:textId="77777777" w:rsidR="00400CC2" w:rsidRDefault="00400CC2">
            <w:pPr>
              <w:rPr>
                <w:sz w:val="36"/>
                <w:szCs w:val="36"/>
              </w:rPr>
            </w:pPr>
          </w:p>
          <w:p w14:paraId="60183C9E" w14:textId="687CE213" w:rsidR="00311E29" w:rsidRPr="00400CC2" w:rsidRDefault="00311E29">
            <w:pPr>
              <w:rPr>
                <w:sz w:val="36"/>
                <w:szCs w:val="36"/>
              </w:rPr>
            </w:pPr>
            <w:r>
              <w:rPr>
                <w:sz w:val="36"/>
                <w:szCs w:val="36"/>
              </w:rPr>
              <w:t xml:space="preserve">Moeilijk </w:t>
            </w:r>
          </w:p>
        </w:tc>
      </w:tr>
      <w:tr w:rsidR="00400CC2" w:rsidRPr="00400CC2" w14:paraId="7DD16C53" w14:textId="77777777" w:rsidTr="00400CC2">
        <w:tc>
          <w:tcPr>
            <w:tcW w:w="4531" w:type="dxa"/>
          </w:tcPr>
          <w:p w14:paraId="23CB377C" w14:textId="77777777" w:rsidR="00311E29" w:rsidRDefault="00311E29">
            <w:pPr>
              <w:rPr>
                <w:sz w:val="36"/>
                <w:szCs w:val="36"/>
              </w:rPr>
            </w:pPr>
          </w:p>
          <w:p w14:paraId="138E91DA" w14:textId="367AE5B6" w:rsidR="00400CC2" w:rsidRDefault="00400CC2">
            <w:pPr>
              <w:rPr>
                <w:sz w:val="36"/>
                <w:szCs w:val="36"/>
              </w:rPr>
            </w:pPr>
            <w:r>
              <w:rPr>
                <w:sz w:val="36"/>
                <w:szCs w:val="36"/>
              </w:rPr>
              <w:t xml:space="preserve">Lachwekkend </w:t>
            </w:r>
          </w:p>
          <w:p w14:paraId="0013ED30" w14:textId="68F82ACB" w:rsidR="00400CC2" w:rsidRPr="00400CC2" w:rsidRDefault="00400CC2">
            <w:pPr>
              <w:rPr>
                <w:sz w:val="36"/>
                <w:szCs w:val="36"/>
              </w:rPr>
            </w:pPr>
          </w:p>
        </w:tc>
        <w:tc>
          <w:tcPr>
            <w:tcW w:w="4531" w:type="dxa"/>
          </w:tcPr>
          <w:p w14:paraId="20B7551C" w14:textId="77777777" w:rsidR="00400CC2" w:rsidRDefault="00400CC2">
            <w:pPr>
              <w:rPr>
                <w:sz w:val="36"/>
                <w:szCs w:val="36"/>
              </w:rPr>
            </w:pPr>
          </w:p>
          <w:p w14:paraId="177EFD8B" w14:textId="4280E8BD" w:rsidR="00311E29" w:rsidRPr="00400CC2" w:rsidRDefault="00311E29">
            <w:pPr>
              <w:rPr>
                <w:sz w:val="36"/>
                <w:szCs w:val="36"/>
              </w:rPr>
            </w:pPr>
            <w:r>
              <w:rPr>
                <w:sz w:val="36"/>
                <w:szCs w:val="36"/>
              </w:rPr>
              <w:t xml:space="preserve">Ingewikkeld </w:t>
            </w:r>
          </w:p>
        </w:tc>
      </w:tr>
      <w:tr w:rsidR="00311E29" w:rsidRPr="00400CC2" w14:paraId="17CCBD98" w14:textId="77777777" w:rsidTr="00400CC2">
        <w:tc>
          <w:tcPr>
            <w:tcW w:w="4531" w:type="dxa"/>
          </w:tcPr>
          <w:p w14:paraId="16DD44EA" w14:textId="77777777" w:rsidR="00311E29" w:rsidRDefault="00311E29">
            <w:pPr>
              <w:rPr>
                <w:sz w:val="36"/>
                <w:szCs w:val="36"/>
              </w:rPr>
            </w:pPr>
          </w:p>
          <w:p w14:paraId="1F7CC7D5" w14:textId="700A7A7B" w:rsidR="00311E29" w:rsidRDefault="00311E29">
            <w:pPr>
              <w:rPr>
                <w:sz w:val="36"/>
                <w:szCs w:val="36"/>
              </w:rPr>
            </w:pPr>
            <w:r>
              <w:rPr>
                <w:sz w:val="36"/>
                <w:szCs w:val="36"/>
              </w:rPr>
              <w:t xml:space="preserve">Wonderlijk </w:t>
            </w:r>
          </w:p>
          <w:p w14:paraId="0C778EBE" w14:textId="41A985BF" w:rsidR="00311E29" w:rsidRDefault="00311E29">
            <w:pPr>
              <w:rPr>
                <w:sz w:val="36"/>
                <w:szCs w:val="36"/>
              </w:rPr>
            </w:pPr>
          </w:p>
        </w:tc>
        <w:tc>
          <w:tcPr>
            <w:tcW w:w="4531" w:type="dxa"/>
          </w:tcPr>
          <w:p w14:paraId="5B16EC2D" w14:textId="77777777" w:rsidR="00311E29" w:rsidRDefault="00311E29">
            <w:pPr>
              <w:rPr>
                <w:sz w:val="36"/>
                <w:szCs w:val="36"/>
              </w:rPr>
            </w:pPr>
          </w:p>
          <w:p w14:paraId="61ABD30E" w14:textId="34B6FAD2" w:rsidR="00311E29" w:rsidRDefault="00311E29">
            <w:pPr>
              <w:rPr>
                <w:sz w:val="36"/>
                <w:szCs w:val="36"/>
              </w:rPr>
            </w:pPr>
            <w:r>
              <w:rPr>
                <w:sz w:val="36"/>
                <w:szCs w:val="36"/>
              </w:rPr>
              <w:t>Onbegrijpelijk</w:t>
            </w:r>
          </w:p>
        </w:tc>
      </w:tr>
      <w:tr w:rsidR="00311E29" w:rsidRPr="00400CC2" w14:paraId="5CFED695" w14:textId="77777777" w:rsidTr="00400CC2">
        <w:tc>
          <w:tcPr>
            <w:tcW w:w="4531" w:type="dxa"/>
          </w:tcPr>
          <w:p w14:paraId="0253BF61" w14:textId="77777777" w:rsidR="00311E29" w:rsidRDefault="00311E29">
            <w:pPr>
              <w:rPr>
                <w:sz w:val="36"/>
                <w:szCs w:val="36"/>
              </w:rPr>
            </w:pPr>
          </w:p>
          <w:p w14:paraId="28377B77" w14:textId="4B34C040" w:rsidR="00311E29" w:rsidRDefault="00311E29">
            <w:pPr>
              <w:rPr>
                <w:sz w:val="36"/>
                <w:szCs w:val="36"/>
              </w:rPr>
            </w:pPr>
            <w:r>
              <w:rPr>
                <w:sz w:val="36"/>
                <w:szCs w:val="36"/>
              </w:rPr>
              <w:t>Dierbaar</w:t>
            </w:r>
          </w:p>
          <w:p w14:paraId="5F34A29E" w14:textId="61E1A302" w:rsidR="00311E29" w:rsidRDefault="00311E29">
            <w:pPr>
              <w:rPr>
                <w:sz w:val="36"/>
                <w:szCs w:val="36"/>
              </w:rPr>
            </w:pPr>
          </w:p>
        </w:tc>
        <w:tc>
          <w:tcPr>
            <w:tcW w:w="4531" w:type="dxa"/>
          </w:tcPr>
          <w:p w14:paraId="02EEEAA3" w14:textId="77777777" w:rsidR="00311E29" w:rsidRDefault="00311E29">
            <w:pPr>
              <w:rPr>
                <w:sz w:val="36"/>
                <w:szCs w:val="36"/>
              </w:rPr>
            </w:pPr>
          </w:p>
          <w:p w14:paraId="014F5F12" w14:textId="533BD9B1" w:rsidR="00311E29" w:rsidRDefault="00311E29">
            <w:pPr>
              <w:rPr>
                <w:sz w:val="36"/>
                <w:szCs w:val="36"/>
              </w:rPr>
            </w:pPr>
            <w:r>
              <w:rPr>
                <w:sz w:val="36"/>
                <w:szCs w:val="36"/>
              </w:rPr>
              <w:t xml:space="preserve">Verdrietig </w:t>
            </w:r>
          </w:p>
        </w:tc>
      </w:tr>
    </w:tbl>
    <w:p w14:paraId="7F24D035" w14:textId="4C55F4FC" w:rsidR="00551A88" w:rsidRDefault="00551A88" w:rsidP="00311E29"/>
    <w:sectPr w:rsidR="00551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8440E"/>
    <w:multiLevelType w:val="hybridMultilevel"/>
    <w:tmpl w:val="58F8A076"/>
    <w:lvl w:ilvl="0" w:tplc="0413000F">
      <w:start w:val="1"/>
      <w:numFmt w:val="decimal"/>
      <w:lvlText w:val="%1."/>
      <w:lvlJc w:val="left"/>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0F122B4"/>
    <w:multiLevelType w:val="hybridMultilevel"/>
    <w:tmpl w:val="354AE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7721734">
    <w:abstractNumId w:val="0"/>
  </w:num>
  <w:num w:numId="2" w16cid:durableId="843981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7F"/>
    <w:rsid w:val="00311E29"/>
    <w:rsid w:val="00400CC2"/>
    <w:rsid w:val="00551A88"/>
    <w:rsid w:val="00736A7F"/>
    <w:rsid w:val="00BB7E6D"/>
    <w:rsid w:val="00D775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65F1"/>
  <w15:chartTrackingRefBased/>
  <w15:docId w15:val="{C898EE4F-2D35-434B-97AD-8DD37380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6A7F"/>
    <w:pPr>
      <w:ind w:left="720"/>
      <w:contextualSpacing/>
    </w:pPr>
  </w:style>
  <w:style w:type="table" w:styleId="Tabelraster">
    <w:name w:val="Table Grid"/>
    <w:basedOn w:val="Standaardtabel"/>
    <w:uiPriority w:val="39"/>
    <w:rsid w:val="00400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D7754F"/>
    <w:rPr>
      <w:i/>
      <w:iCs/>
    </w:rPr>
  </w:style>
  <w:style w:type="character" w:styleId="Hyperlink">
    <w:name w:val="Hyperlink"/>
    <w:basedOn w:val="Standaardalinea-lettertype"/>
    <w:uiPriority w:val="99"/>
    <w:unhideWhenUsed/>
    <w:rsid w:val="00D77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dl.handle.net/1765/13701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235</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Dolman</dc:creator>
  <cp:keywords/>
  <dc:description/>
  <cp:lastModifiedBy>Belinda Dolman</cp:lastModifiedBy>
  <cp:revision>2</cp:revision>
  <dcterms:created xsi:type="dcterms:W3CDTF">2022-01-18T11:50:00Z</dcterms:created>
  <dcterms:modified xsi:type="dcterms:W3CDTF">2022-04-26T08:08:00Z</dcterms:modified>
</cp:coreProperties>
</file>